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97" w:rsidRPr="00286297" w:rsidRDefault="00286297" w:rsidP="00286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ab/>
      </w:r>
      <w:r w:rsidRPr="00286297">
        <w:rPr>
          <w:rFonts w:ascii="Times New Roman" w:hAnsi="Times New Roman" w:cs="Times New Roman"/>
          <w:sz w:val="24"/>
          <w:szCs w:val="24"/>
        </w:rPr>
        <w:tab/>
      </w:r>
      <w:r w:rsidRPr="00286297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.8pt;width:53pt;height:60pt;z-index:251660288;mso-position-horizontal-relative:text;mso-position-vertical-relative:text" fillcolor="window">
            <v:imagedata r:id="rId5" o:title=""/>
            <w10:wrap type="square" side="right"/>
          </v:shape>
          <o:OLEObject Type="Embed" ProgID="PBrush" ShapeID="_x0000_s1026" DrawAspect="Content" ObjectID="_1521890984" r:id="rId6"/>
        </w:pict>
      </w:r>
    </w:p>
    <w:p w:rsidR="00286297" w:rsidRPr="00286297" w:rsidRDefault="00286297" w:rsidP="00286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Default="00286297" w:rsidP="0028629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Default="00286297" w:rsidP="0028629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  <w:lang w:val="en-US"/>
        </w:rPr>
        <w:t>XXVIII</w:t>
      </w:r>
      <w:r w:rsidRPr="00286297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Pr="002862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8629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286297" w:rsidRPr="00286297" w:rsidRDefault="00286297" w:rsidP="0028629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86297" w:rsidRPr="00286297" w:rsidRDefault="00286297" w:rsidP="0028629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86297">
        <w:rPr>
          <w:rFonts w:ascii="Times New Roman" w:hAnsi="Times New Roman" w:cs="Times New Roman"/>
          <w:i w:val="0"/>
          <w:sz w:val="24"/>
          <w:szCs w:val="24"/>
        </w:rPr>
        <w:t>РЕШЕНИЕ</w:t>
      </w:r>
    </w:p>
    <w:p w:rsidR="00286297" w:rsidRPr="00286297" w:rsidRDefault="00286297" w:rsidP="0028629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6297" w:rsidRPr="00286297" w:rsidRDefault="00286297" w:rsidP="00286297">
      <w:pPr>
        <w:pStyle w:val="8"/>
        <w:tabs>
          <w:tab w:val="left" w:pos="7020"/>
        </w:tabs>
        <w:spacing w:after="0" w:line="240" w:lineRule="auto"/>
        <w:ind w:firstLine="0"/>
        <w:rPr>
          <w:i w:val="0"/>
        </w:rPr>
      </w:pPr>
      <w:r w:rsidRPr="00286297">
        <w:rPr>
          <w:i w:val="0"/>
        </w:rPr>
        <w:t>25 декабря 2015 года                                                                            № 36</w:t>
      </w:r>
    </w:p>
    <w:p w:rsidR="00286297" w:rsidRPr="00286297" w:rsidRDefault="00286297" w:rsidP="0028629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86297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Pr="00286297">
        <w:rPr>
          <w:rFonts w:ascii="Times New Roman" w:hAnsi="Times New Roman" w:cs="Times New Roman"/>
          <w:b w:val="0"/>
          <w:sz w:val="24"/>
          <w:szCs w:val="24"/>
        </w:rPr>
        <w:t>.Э</w:t>
      </w:r>
      <w:proofErr w:type="gramEnd"/>
      <w:r w:rsidRPr="00286297">
        <w:rPr>
          <w:rFonts w:ascii="Times New Roman" w:hAnsi="Times New Roman" w:cs="Times New Roman"/>
          <w:b w:val="0"/>
          <w:sz w:val="24"/>
          <w:szCs w:val="24"/>
        </w:rPr>
        <w:t>ссойла</w:t>
      </w:r>
      <w:proofErr w:type="spellEnd"/>
    </w:p>
    <w:p w:rsidR="00286297" w:rsidRPr="00286297" w:rsidRDefault="00286297" w:rsidP="00286297">
      <w:pPr>
        <w:pStyle w:val="5"/>
        <w:spacing w:before="0"/>
        <w:rPr>
          <w:b w:val="0"/>
          <w:sz w:val="24"/>
        </w:rPr>
      </w:pPr>
    </w:p>
    <w:p w:rsidR="00286297" w:rsidRPr="00286297" w:rsidRDefault="00286297" w:rsidP="00286297">
      <w:pPr>
        <w:pStyle w:val="5"/>
        <w:spacing w:before="0"/>
        <w:rPr>
          <w:sz w:val="24"/>
        </w:rPr>
      </w:pPr>
      <w:r w:rsidRPr="00286297">
        <w:rPr>
          <w:sz w:val="24"/>
        </w:rPr>
        <w:t xml:space="preserve">О бюджете Эссойльского сельского поселения на 2016 год 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286297" w:rsidRPr="00286297" w:rsidTr="005B677B">
        <w:tc>
          <w:tcPr>
            <w:tcW w:w="1276" w:type="dxa"/>
          </w:tcPr>
          <w:p w:rsidR="00286297" w:rsidRPr="00286297" w:rsidRDefault="00286297" w:rsidP="0028629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Статья 1.</w:t>
            </w:r>
          </w:p>
        </w:tc>
        <w:tc>
          <w:tcPr>
            <w:tcW w:w="7477" w:type="dxa"/>
          </w:tcPr>
          <w:p w:rsidR="00286297" w:rsidRPr="00286297" w:rsidRDefault="00286297" w:rsidP="00286297">
            <w:pPr>
              <w:pStyle w:val="5"/>
              <w:spacing w:before="0"/>
              <w:ind w:left="34"/>
              <w:jc w:val="both"/>
              <w:rPr>
                <w:sz w:val="24"/>
              </w:rPr>
            </w:pPr>
            <w:r w:rsidRPr="00286297">
              <w:rPr>
                <w:sz w:val="24"/>
              </w:rPr>
              <w:t>Основные характеристики бюджета Эссойльского сельского поселения</w:t>
            </w:r>
          </w:p>
        </w:tc>
      </w:tr>
    </w:tbl>
    <w:p w:rsidR="00286297" w:rsidRPr="00286297" w:rsidRDefault="00286297" w:rsidP="00286297">
      <w:pPr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Эссойльского сельского поселения на 2016 год: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Эссойльского сельского поселения в сумме 16203,3 тыс. рублей, в том числе объем безвозмездных поступлений в сумме 1459 тыс. рублей, из них объем получаемых межбюджетных трансфертов в сумме 1409 тыс. рублей;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2) общий объем расходов бюджета Эссойльского сельского поселения в сумме 16203,3  тыс. рублей.</w:t>
      </w: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286297" w:rsidRPr="00286297" w:rsidTr="005B677B">
        <w:tc>
          <w:tcPr>
            <w:tcW w:w="1276" w:type="dxa"/>
          </w:tcPr>
          <w:p w:rsidR="00286297" w:rsidRPr="00286297" w:rsidRDefault="00286297" w:rsidP="0028629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297" w:rsidRPr="00286297" w:rsidRDefault="00286297" w:rsidP="0028629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Статья 2.</w:t>
            </w:r>
          </w:p>
        </w:tc>
        <w:tc>
          <w:tcPr>
            <w:tcW w:w="7477" w:type="dxa"/>
          </w:tcPr>
          <w:p w:rsidR="00286297" w:rsidRPr="00286297" w:rsidRDefault="00286297" w:rsidP="00286297">
            <w:pPr>
              <w:pStyle w:val="31"/>
              <w:spacing w:before="0"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286297" w:rsidRPr="00286297" w:rsidRDefault="00286297" w:rsidP="00286297">
            <w:pPr>
              <w:pStyle w:val="31"/>
              <w:spacing w:before="0"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286297">
              <w:rPr>
                <w:b/>
                <w:sz w:val="24"/>
                <w:szCs w:val="24"/>
              </w:rPr>
              <w:t xml:space="preserve">Главные распорядители средств бюджета Эссойльского сельского поселения </w:t>
            </w:r>
          </w:p>
        </w:tc>
      </w:tr>
    </w:tbl>
    <w:p w:rsidR="00286297" w:rsidRPr="00286297" w:rsidRDefault="00286297" w:rsidP="00286297">
      <w:pPr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Утвердить перечень главных распорядителей средств бюджета Эссойльского сельского поселения на 2016 год согласно </w:t>
      </w:r>
      <w:hyperlink r:id="rId7" w:history="1">
        <w:r w:rsidRPr="0028629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86297">
        <w:rPr>
          <w:rFonts w:ascii="Times New Roman" w:hAnsi="Times New Roman" w:cs="Times New Roman"/>
          <w:sz w:val="24"/>
          <w:szCs w:val="24"/>
        </w:rPr>
        <w:t>1 к настоящему решению.</w:t>
      </w: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286297" w:rsidRPr="00286297" w:rsidTr="005B677B">
        <w:tc>
          <w:tcPr>
            <w:tcW w:w="1276" w:type="dxa"/>
          </w:tcPr>
          <w:p w:rsidR="00286297" w:rsidRPr="00286297" w:rsidRDefault="00286297" w:rsidP="0028629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Статья 3.</w:t>
            </w:r>
          </w:p>
        </w:tc>
        <w:tc>
          <w:tcPr>
            <w:tcW w:w="7477" w:type="dxa"/>
          </w:tcPr>
          <w:p w:rsidR="00286297" w:rsidRPr="00286297" w:rsidRDefault="00286297" w:rsidP="00286297">
            <w:pPr>
              <w:pStyle w:val="31"/>
              <w:spacing w:before="0" w:after="0" w:line="240" w:lineRule="auto"/>
              <w:ind w:left="29" w:firstLine="5"/>
              <w:rPr>
                <w:b/>
                <w:sz w:val="24"/>
                <w:szCs w:val="24"/>
              </w:rPr>
            </w:pPr>
            <w:r w:rsidRPr="00286297">
              <w:rPr>
                <w:b/>
                <w:sz w:val="24"/>
                <w:szCs w:val="24"/>
              </w:rPr>
              <w:t>Главные администраторы доходов бюджета Эссойльского сельского поселения и главные администраторы источников финансирования дефицита бюджета Эссойльского сельского поселения</w:t>
            </w:r>
          </w:p>
        </w:tc>
      </w:tr>
    </w:tbl>
    <w:p w:rsidR="00286297" w:rsidRPr="00286297" w:rsidRDefault="00286297" w:rsidP="00286297">
      <w:pPr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Эссойльского сельского поселения, закрепляемые за ними виды (подвиды) доходов бюджета Эссойльского сельского поселения на 2016 год согласно </w:t>
      </w:r>
      <w:hyperlink r:id="rId8" w:history="1">
        <w:r w:rsidRPr="00286297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28629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 на 2016 год согласно </w:t>
      </w:r>
      <w:hyperlink r:id="rId9" w:history="1">
        <w:r w:rsidRPr="00286297">
          <w:rPr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Pr="0028629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86297" w:rsidRPr="00286297" w:rsidRDefault="00286297" w:rsidP="0028629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286297" w:rsidRPr="00286297" w:rsidTr="005B677B">
        <w:tc>
          <w:tcPr>
            <w:tcW w:w="1276" w:type="dxa"/>
          </w:tcPr>
          <w:p w:rsidR="00286297" w:rsidRPr="00286297" w:rsidRDefault="00286297" w:rsidP="00286297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Статья 4.</w:t>
            </w:r>
          </w:p>
        </w:tc>
        <w:tc>
          <w:tcPr>
            <w:tcW w:w="7477" w:type="dxa"/>
          </w:tcPr>
          <w:p w:rsidR="00286297" w:rsidRPr="00286297" w:rsidRDefault="00286297" w:rsidP="00286297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администрирования доходов бюджета </w:t>
            </w:r>
          </w:p>
          <w:p w:rsidR="00286297" w:rsidRPr="00286297" w:rsidRDefault="00286297" w:rsidP="0028629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Эссойльского сельского поселения</w:t>
            </w:r>
          </w:p>
        </w:tc>
      </w:tr>
    </w:tbl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1. В случае изменения бюджетной классификации Российской Федерации при перечислении доходов на единый счет бюджета Эссойльского сельского поселения </w:t>
      </w:r>
      <w:r w:rsidRPr="00286297">
        <w:rPr>
          <w:rFonts w:ascii="Times New Roman" w:hAnsi="Times New Roman" w:cs="Times New Roman"/>
          <w:sz w:val="24"/>
          <w:szCs w:val="24"/>
        </w:rPr>
        <w:lastRenderedPageBreak/>
        <w:t>применяются коды доходов измененной бюджетной классификации Российской Федерации.</w:t>
      </w:r>
    </w:p>
    <w:p w:rsidR="00286297" w:rsidRPr="00286297" w:rsidRDefault="00286297" w:rsidP="00286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6297">
        <w:rPr>
          <w:rFonts w:ascii="Times New Roman" w:hAnsi="Times New Roman" w:cs="Times New Roman"/>
          <w:color w:val="000000"/>
          <w:sz w:val="24"/>
          <w:szCs w:val="24"/>
        </w:rPr>
        <w:t xml:space="preserve">2. Установить, что доходы бюджета </w:t>
      </w:r>
      <w:r w:rsidRPr="00286297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286297">
        <w:rPr>
          <w:rFonts w:ascii="Times New Roman" w:hAnsi="Times New Roman" w:cs="Times New Roman"/>
          <w:color w:val="000000"/>
          <w:sz w:val="24"/>
          <w:szCs w:val="24"/>
        </w:rPr>
        <w:t>, поступающие в 2016 году, формируются за счет доходов от уплаты федеральных, региональных и местных налогов и сборов и неналоговых доходов по нормативам, установленным законодательными актами Российской Федерации,</w:t>
      </w:r>
      <w:r w:rsidRPr="00286297">
        <w:rPr>
          <w:rStyle w:val="apple-converted-space"/>
          <w:color w:val="000000"/>
          <w:sz w:val="24"/>
          <w:szCs w:val="24"/>
        </w:rPr>
        <w:t> </w:t>
      </w:r>
      <w:r w:rsidRPr="00286297">
        <w:rPr>
          <w:rFonts w:ascii="Times New Roman" w:hAnsi="Times New Roman" w:cs="Times New Roman"/>
          <w:color w:val="000000"/>
          <w:sz w:val="24"/>
          <w:szCs w:val="24"/>
        </w:rPr>
        <w:t> Республики Карелия, настоящим решением.</w:t>
      </w:r>
    </w:p>
    <w:p w:rsidR="00286297" w:rsidRPr="00286297" w:rsidRDefault="00286297" w:rsidP="00286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595959"/>
          <w:sz w:val="24"/>
          <w:szCs w:val="24"/>
        </w:rPr>
      </w:pPr>
      <w:r w:rsidRPr="00286297">
        <w:rPr>
          <w:rFonts w:ascii="Times New Roman" w:hAnsi="Times New Roman" w:cs="Times New Roman"/>
          <w:color w:val="000000"/>
          <w:sz w:val="24"/>
          <w:szCs w:val="24"/>
        </w:rPr>
        <w:t xml:space="preserve">3. Установить, что задолженность по земельному налогу (по обязательствам, возникшим до 1 января 2006 года и мобилизуемого на территориях поселений) зачисляются в бюджет </w:t>
      </w:r>
      <w:r w:rsidRPr="00286297">
        <w:rPr>
          <w:rFonts w:ascii="Times New Roman" w:hAnsi="Times New Roman" w:cs="Times New Roman"/>
          <w:sz w:val="24"/>
          <w:szCs w:val="24"/>
        </w:rPr>
        <w:t xml:space="preserve">Эссойльского сельского </w:t>
      </w:r>
      <w:r w:rsidRPr="00286297">
        <w:rPr>
          <w:rFonts w:ascii="Times New Roman" w:hAnsi="Times New Roman" w:cs="Times New Roman"/>
          <w:color w:val="000000"/>
          <w:sz w:val="24"/>
          <w:szCs w:val="24"/>
        </w:rPr>
        <w:t>поселения по нормативу 100 процентов.</w:t>
      </w:r>
    </w:p>
    <w:p w:rsidR="00286297" w:rsidRPr="00286297" w:rsidRDefault="00286297" w:rsidP="00286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595959"/>
          <w:sz w:val="24"/>
          <w:szCs w:val="24"/>
        </w:rPr>
      </w:pPr>
      <w:r w:rsidRPr="00286297">
        <w:rPr>
          <w:rFonts w:ascii="Times New Roman" w:hAnsi="Times New Roman" w:cs="Times New Roman"/>
          <w:color w:val="000000"/>
          <w:sz w:val="24"/>
          <w:szCs w:val="24"/>
        </w:rPr>
        <w:t xml:space="preserve">4. Установить, что прочие доходы от оказания платных услуг (работ) получателями средств бюджетов поселений, доходы, поступающие в порядке возмещения расходов, понесенных в связи с эксплуатацией имущества поселений, прочие доходы от компенсации затрат бюджетов поселений зачисляются в бюджет </w:t>
      </w:r>
      <w:r w:rsidRPr="00286297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286297">
        <w:rPr>
          <w:rFonts w:ascii="Times New Roman" w:hAnsi="Times New Roman" w:cs="Times New Roman"/>
          <w:color w:val="000000"/>
          <w:sz w:val="24"/>
          <w:szCs w:val="24"/>
        </w:rPr>
        <w:t xml:space="preserve"> по нормативу 100 процентов.</w:t>
      </w:r>
    </w:p>
    <w:p w:rsidR="00286297" w:rsidRPr="00286297" w:rsidRDefault="00286297" w:rsidP="00286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6297">
        <w:rPr>
          <w:rFonts w:ascii="Times New Roman" w:hAnsi="Times New Roman" w:cs="Times New Roman"/>
          <w:color w:val="000000"/>
          <w:sz w:val="24"/>
          <w:szCs w:val="24"/>
        </w:rPr>
        <w:t xml:space="preserve">5. Установить, что невыясненные поступления, зачисляемые в бюджеты поселений, зачисляются в бюджет </w:t>
      </w:r>
      <w:r w:rsidRPr="00286297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286297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286297">
        <w:rPr>
          <w:rStyle w:val="apple-converted-space"/>
          <w:color w:val="000000"/>
          <w:sz w:val="24"/>
          <w:szCs w:val="24"/>
        </w:rPr>
        <w:t> </w:t>
      </w:r>
      <w:r w:rsidRPr="00286297">
        <w:rPr>
          <w:rFonts w:ascii="Times New Roman" w:hAnsi="Times New Roman" w:cs="Times New Roman"/>
          <w:color w:val="000000"/>
          <w:sz w:val="24"/>
          <w:szCs w:val="24"/>
        </w:rPr>
        <w:t>нормативу</w:t>
      </w:r>
      <w:r w:rsidRPr="00286297">
        <w:rPr>
          <w:rStyle w:val="apple-converted-space"/>
          <w:color w:val="000000"/>
          <w:sz w:val="24"/>
          <w:szCs w:val="24"/>
        </w:rPr>
        <w:t> </w:t>
      </w:r>
      <w:r w:rsidRPr="00286297">
        <w:rPr>
          <w:rFonts w:ascii="Times New Roman" w:hAnsi="Times New Roman" w:cs="Times New Roman"/>
          <w:color w:val="000000"/>
          <w:sz w:val="24"/>
          <w:szCs w:val="24"/>
        </w:rPr>
        <w:t>100 процентов.</w:t>
      </w:r>
    </w:p>
    <w:p w:rsidR="00286297" w:rsidRPr="00286297" w:rsidRDefault="00286297" w:rsidP="00286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286297" w:rsidRPr="00286297" w:rsidTr="005B677B">
        <w:tc>
          <w:tcPr>
            <w:tcW w:w="1276" w:type="dxa"/>
          </w:tcPr>
          <w:p w:rsidR="00286297" w:rsidRPr="00286297" w:rsidRDefault="00286297" w:rsidP="00286297">
            <w:pPr>
              <w:spacing w:after="0" w:line="240" w:lineRule="auto"/>
              <w:ind w:left="-391" w:right="-249"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Статья 5.</w:t>
            </w:r>
          </w:p>
        </w:tc>
        <w:tc>
          <w:tcPr>
            <w:tcW w:w="7477" w:type="dxa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 бюджета Эссойльского сельского поселения</w:t>
            </w:r>
          </w:p>
        </w:tc>
      </w:tr>
    </w:tbl>
    <w:p w:rsidR="00286297" w:rsidRPr="00286297" w:rsidRDefault="00286297" w:rsidP="00286297">
      <w:pPr>
        <w:tabs>
          <w:tab w:val="left" w:pos="993"/>
        </w:tabs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1. </w:t>
      </w:r>
      <w:r w:rsidRPr="00286297">
        <w:rPr>
          <w:rFonts w:ascii="Times New Roman" w:hAnsi="Times New Roman" w:cs="Times New Roman"/>
          <w:bCs/>
          <w:sz w:val="24"/>
          <w:szCs w:val="24"/>
        </w:rPr>
        <w:t>Утвердить ведомственную структуру расходов</w:t>
      </w:r>
      <w:r w:rsidRPr="00286297">
        <w:rPr>
          <w:rFonts w:ascii="Times New Roman" w:hAnsi="Times New Roman" w:cs="Times New Roman"/>
          <w:sz w:val="24"/>
          <w:szCs w:val="24"/>
        </w:rPr>
        <w:t xml:space="preserve"> бюджета Эссойльского сельского поселения по главным распорядителям бюджетных средств, разделам, подразделам и целевым статьям, группам и подгруппам 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 xml:space="preserve"> на 2016 год согласно </w:t>
      </w:r>
      <w:hyperlink r:id="rId10" w:history="1">
        <w:r w:rsidRPr="00286297">
          <w:rPr>
            <w:rFonts w:ascii="Times New Roman" w:hAnsi="Times New Roman" w:cs="Times New Roman"/>
            <w:sz w:val="24"/>
            <w:szCs w:val="24"/>
          </w:rPr>
          <w:t>приложению 4</w:t>
        </w:r>
      </w:hyperlink>
      <w:r w:rsidRPr="0028629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2. Утвердить распределение бюджетных ассигнований по </w:t>
      </w:r>
      <w:r w:rsidRPr="00286297">
        <w:rPr>
          <w:rFonts w:ascii="Times New Roman" w:hAnsi="Times New Roman" w:cs="Times New Roman"/>
          <w:bCs/>
          <w:sz w:val="24"/>
          <w:szCs w:val="24"/>
        </w:rPr>
        <w:t>разделам, подразделам, целевым статьям</w:t>
      </w:r>
      <w:r w:rsidRPr="00286297">
        <w:rPr>
          <w:rFonts w:ascii="Times New Roman" w:hAnsi="Times New Roman" w:cs="Times New Roman"/>
          <w:sz w:val="24"/>
          <w:szCs w:val="24"/>
        </w:rPr>
        <w:t xml:space="preserve">, </w:t>
      </w:r>
      <w:r w:rsidRPr="00286297">
        <w:rPr>
          <w:rFonts w:ascii="Times New Roman" w:hAnsi="Times New Roman" w:cs="Times New Roman"/>
          <w:bCs/>
          <w:sz w:val="24"/>
          <w:szCs w:val="24"/>
        </w:rPr>
        <w:t xml:space="preserve">группам и подгруппам </w:t>
      </w:r>
      <w:proofErr w:type="gramStart"/>
      <w:r w:rsidRPr="00286297">
        <w:rPr>
          <w:rFonts w:ascii="Times New Roman" w:hAnsi="Times New Roman" w:cs="Times New Roman"/>
          <w:bCs/>
          <w:sz w:val="24"/>
          <w:szCs w:val="24"/>
        </w:rPr>
        <w:t xml:space="preserve">видов расходов классификации расходов </w:t>
      </w:r>
      <w:r w:rsidRPr="00286297">
        <w:rPr>
          <w:rFonts w:ascii="Times New Roman" w:hAnsi="Times New Roman" w:cs="Times New Roman"/>
          <w:sz w:val="24"/>
          <w:szCs w:val="24"/>
        </w:rPr>
        <w:t>бюджетов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 xml:space="preserve"> на 2016 год согласно </w:t>
      </w:r>
      <w:hyperlink r:id="rId11" w:history="1">
        <w:r w:rsidRPr="0028629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86297">
        <w:rPr>
          <w:rFonts w:ascii="Times New Roman" w:hAnsi="Times New Roman" w:cs="Times New Roman"/>
          <w:sz w:val="24"/>
          <w:szCs w:val="24"/>
        </w:rPr>
        <w:t>5 к настоящему решению.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3. Утвердить общий объем бюджетных ассигнований, направляемых  на исполнение публичных нормативных обязательств на 2016 год в сумме 20 тыс. рублей.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4. Утвердить объем бюджетных ассигнований Дорожного фонда Эссойльского сельского поселения в суммах, предусмотренных по подразделу «Дорожное хозяйство (дорожные фонды)» раздела «Национальная экономика» на 2016 год согласно </w:t>
      </w:r>
      <w:hyperlink r:id="rId12" w:history="1">
        <w:r w:rsidRPr="00286297">
          <w:rPr>
            <w:rFonts w:ascii="Times New Roman" w:hAnsi="Times New Roman" w:cs="Times New Roman"/>
            <w:sz w:val="24"/>
            <w:szCs w:val="24"/>
          </w:rPr>
          <w:t>приложениям 4</w:t>
        </w:r>
      </w:hyperlink>
      <w:r w:rsidRPr="00286297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28629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28629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286297" w:rsidRPr="00286297" w:rsidTr="005B677B">
        <w:tc>
          <w:tcPr>
            <w:tcW w:w="1276" w:type="dxa"/>
          </w:tcPr>
          <w:p w:rsidR="00286297" w:rsidRPr="00286297" w:rsidRDefault="00286297" w:rsidP="00286297">
            <w:pPr>
              <w:spacing w:after="0" w:line="240" w:lineRule="auto"/>
              <w:ind w:right="-108" w:hanging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68"/>
            <w:bookmarkEnd w:id="0"/>
          </w:p>
          <w:p w:rsidR="00286297" w:rsidRPr="00286297" w:rsidRDefault="00286297" w:rsidP="00286297">
            <w:pPr>
              <w:spacing w:after="0" w:line="240" w:lineRule="auto"/>
              <w:ind w:right="-108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Статья 6.</w:t>
            </w:r>
          </w:p>
        </w:tc>
        <w:tc>
          <w:tcPr>
            <w:tcW w:w="7477" w:type="dxa"/>
          </w:tcPr>
          <w:p w:rsidR="00286297" w:rsidRPr="00286297" w:rsidRDefault="00286297" w:rsidP="0028629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297" w:rsidRPr="00286297" w:rsidRDefault="00286297" w:rsidP="0028629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использования бюджетных ассигнований на обеспечение деятельности органов местного самоуправления Эссойльского сельского поселения и казенных учреждений Эссойльского сельского поселения</w:t>
            </w:r>
          </w:p>
        </w:tc>
      </w:tr>
    </w:tbl>
    <w:p w:rsidR="00286297" w:rsidRPr="00286297" w:rsidRDefault="00286297" w:rsidP="00286297">
      <w:pPr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Администрация Эссойльского сельского поселения не вправе принимать решения, приводящие к увеличению в 2016 году численности муниципальных служащих и работников казенных учреждений Эссойльского сельского поселения, за исключением 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случаев изменения функций органов местного самоуправления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 и казенных учреждений Эссойльского сельского поселения.</w:t>
      </w:r>
    </w:p>
    <w:p w:rsidR="00286297" w:rsidRPr="00286297" w:rsidRDefault="00286297" w:rsidP="0028629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286297" w:rsidRPr="00286297" w:rsidTr="005B677B">
        <w:tc>
          <w:tcPr>
            <w:tcW w:w="1276" w:type="dxa"/>
          </w:tcPr>
          <w:p w:rsidR="00286297" w:rsidRPr="00286297" w:rsidRDefault="00286297" w:rsidP="0028629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Статья 7.</w:t>
            </w:r>
          </w:p>
        </w:tc>
        <w:tc>
          <w:tcPr>
            <w:tcW w:w="7477" w:type="dxa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Средства, передаваемые из бюджета Эссойльского сельского поселения бюджету </w:t>
            </w:r>
            <w:proofErr w:type="spellStart"/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Пряжинского</w:t>
            </w:r>
            <w:proofErr w:type="spellEnd"/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национального муниципального района на осуществление переданных полномочий</w:t>
            </w: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97" w:rsidRPr="00286297" w:rsidRDefault="00286297" w:rsidP="00286297">
      <w:pPr>
        <w:pStyle w:val="31"/>
        <w:spacing w:before="0" w:after="0" w:line="240" w:lineRule="auto"/>
        <w:ind w:left="0"/>
        <w:rPr>
          <w:iCs/>
          <w:sz w:val="24"/>
          <w:szCs w:val="24"/>
        </w:rPr>
      </w:pPr>
      <w:bookmarkStart w:id="1" w:name="Par169"/>
      <w:bookmarkEnd w:id="1"/>
      <w:r w:rsidRPr="00286297">
        <w:rPr>
          <w:iCs/>
          <w:sz w:val="24"/>
          <w:szCs w:val="24"/>
        </w:rPr>
        <w:t xml:space="preserve">Утвердить объем средств, передаваемых из бюджета </w:t>
      </w:r>
      <w:r w:rsidRPr="00286297">
        <w:rPr>
          <w:sz w:val="24"/>
          <w:szCs w:val="24"/>
        </w:rPr>
        <w:t xml:space="preserve">Эссойльского сельского </w:t>
      </w:r>
      <w:r w:rsidRPr="00286297">
        <w:rPr>
          <w:iCs/>
          <w:sz w:val="24"/>
          <w:szCs w:val="24"/>
        </w:rPr>
        <w:lastRenderedPageBreak/>
        <w:t xml:space="preserve">поселения бюджету </w:t>
      </w:r>
      <w:proofErr w:type="spellStart"/>
      <w:r w:rsidRPr="00286297">
        <w:rPr>
          <w:iCs/>
          <w:sz w:val="24"/>
          <w:szCs w:val="24"/>
        </w:rPr>
        <w:t>Пряжинского</w:t>
      </w:r>
      <w:proofErr w:type="spellEnd"/>
      <w:r w:rsidRPr="00286297">
        <w:rPr>
          <w:iCs/>
          <w:sz w:val="24"/>
          <w:szCs w:val="24"/>
        </w:rPr>
        <w:t xml:space="preserve"> национального муниципального района на финансирование расходов, связанных с передачей </w:t>
      </w:r>
      <w:proofErr w:type="gramStart"/>
      <w:r w:rsidRPr="00286297">
        <w:rPr>
          <w:iCs/>
          <w:sz w:val="24"/>
          <w:szCs w:val="24"/>
        </w:rPr>
        <w:t>осуществления части полномочий органов местного самоуправления</w:t>
      </w:r>
      <w:proofErr w:type="gramEnd"/>
      <w:r w:rsidRPr="00286297">
        <w:rPr>
          <w:iCs/>
          <w:sz w:val="24"/>
          <w:szCs w:val="24"/>
        </w:rPr>
        <w:t xml:space="preserve"> </w:t>
      </w:r>
      <w:r w:rsidRPr="00286297">
        <w:rPr>
          <w:sz w:val="24"/>
          <w:szCs w:val="24"/>
        </w:rPr>
        <w:t>Эссойльского сельского</w:t>
      </w:r>
      <w:r w:rsidRPr="00286297">
        <w:rPr>
          <w:iCs/>
          <w:sz w:val="24"/>
          <w:szCs w:val="24"/>
        </w:rPr>
        <w:t xml:space="preserve"> поселения органам местного самоуправления </w:t>
      </w:r>
      <w:proofErr w:type="spellStart"/>
      <w:r w:rsidRPr="00286297">
        <w:rPr>
          <w:iCs/>
          <w:sz w:val="24"/>
          <w:szCs w:val="24"/>
        </w:rPr>
        <w:t>Пряжинского</w:t>
      </w:r>
      <w:proofErr w:type="spellEnd"/>
      <w:r w:rsidRPr="00286297">
        <w:rPr>
          <w:iCs/>
          <w:sz w:val="24"/>
          <w:szCs w:val="24"/>
        </w:rPr>
        <w:t xml:space="preserve"> национального муниципального района, согласно приложению 6 к настоящему решению.</w:t>
      </w:r>
    </w:p>
    <w:p w:rsidR="00286297" w:rsidRPr="00286297" w:rsidRDefault="00286297" w:rsidP="00286297">
      <w:pPr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/>
      </w:tblPr>
      <w:tblGrid>
        <w:gridCol w:w="1388"/>
        <w:gridCol w:w="7082"/>
      </w:tblGrid>
      <w:tr w:rsidR="00286297" w:rsidRPr="00286297" w:rsidTr="005B677B">
        <w:tc>
          <w:tcPr>
            <w:tcW w:w="1388" w:type="dxa"/>
          </w:tcPr>
          <w:p w:rsidR="00286297" w:rsidRPr="00286297" w:rsidRDefault="00286297" w:rsidP="00286297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Статья 8.</w:t>
            </w:r>
          </w:p>
        </w:tc>
        <w:tc>
          <w:tcPr>
            <w:tcW w:w="7082" w:type="dxa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бюджета Эссойльского сельского</w:t>
            </w:r>
            <w:r w:rsidRPr="002862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поселения</w:t>
            </w:r>
          </w:p>
        </w:tc>
      </w:tr>
    </w:tbl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1. Установить в соответствии с </w:t>
      </w:r>
      <w:hyperlink r:id="rId14" w:history="1">
        <w:r w:rsidRPr="00286297">
          <w:rPr>
            <w:rFonts w:ascii="Times New Roman" w:hAnsi="Times New Roman" w:cs="Times New Roman"/>
            <w:sz w:val="24"/>
            <w:szCs w:val="24"/>
          </w:rPr>
          <w:t>пунктом 3 статьи 217</w:t>
        </w:r>
      </w:hyperlink>
      <w:r w:rsidRPr="0028629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следующие основания для внесения изменений в показатели сводной бюджетной росписи бюджета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>, связанные с особенностями исполнения бюджета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 xml:space="preserve"> и (или) перераспределения бюджетных ассигнований между главными распорядителями средств бюджета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>: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1) перераспределение бюджетных ассигнований в связи с принятием Администрацией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 xml:space="preserve"> решений об утверждении муниципальных программ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 xml:space="preserve"> и (или) внесении изменений в муниципальные программы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>;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2) 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 xml:space="preserve"> экономии, за исключением средств, связанных с расходами на выполнение публичных нормативных обязательств;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3) перераспределение межбюджетных трансфертов бюджету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 xml:space="preserve"> между разделами и подразделами классификации расходов бюджетов без изменения размеров объемов межбюджетных трансфертов по 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Эссойльскому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 сельскому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поселению</w:t>
      </w:r>
      <w:r w:rsidRPr="00286297">
        <w:rPr>
          <w:rFonts w:ascii="Times New Roman" w:hAnsi="Times New Roman" w:cs="Times New Roman"/>
          <w:sz w:val="24"/>
          <w:szCs w:val="24"/>
        </w:rPr>
        <w:t>;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4) распределение и перераспределение остатков средств, образовавшихся в связи с неиспользованием по состоянию на 1 января текущего финансового года безвозмездных поступлений, сверх соответствующих бюджетных ассигнований и общего объема расходов бюджета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>.</w:t>
      </w:r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3. Установить, что неиспользованные по состоянию на 1 января 2016 года остатки межбюджетных трансфертов, предоставленных из бюджета 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бюджету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 xml:space="preserve"> в форме субвенций, субсидий, иных межбюджетных трансфертов, имеющих целевое назначение, подлежат возврату в бюджет 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в течение первых 10 рабочих дней 2016 года.</w:t>
      </w:r>
    </w:p>
    <w:p w:rsidR="00286297" w:rsidRDefault="00286297" w:rsidP="002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97" w:rsidRDefault="00286297" w:rsidP="002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Председатель Совета Эссойльского</w:t>
      </w:r>
    </w:p>
    <w:p w:rsidR="00286297" w:rsidRPr="00286297" w:rsidRDefault="00286297" w:rsidP="002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М.И.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</w:p>
    <w:p w:rsidR="00286297" w:rsidRPr="00286297" w:rsidRDefault="00286297" w:rsidP="00286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Глава Эссойльского сельского</w:t>
      </w:r>
      <w:r w:rsidRPr="00286297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Pr="00286297">
        <w:rPr>
          <w:rFonts w:ascii="Times New Roman" w:hAnsi="Times New Roman" w:cs="Times New Roman"/>
          <w:sz w:val="24"/>
          <w:szCs w:val="24"/>
        </w:rPr>
        <w:tab/>
      </w:r>
      <w:r w:rsidRPr="00286297">
        <w:rPr>
          <w:rFonts w:ascii="Times New Roman" w:hAnsi="Times New Roman" w:cs="Times New Roman"/>
          <w:sz w:val="24"/>
          <w:szCs w:val="24"/>
        </w:rPr>
        <w:tab/>
      </w:r>
      <w:r w:rsidRPr="00286297">
        <w:rPr>
          <w:rFonts w:ascii="Times New Roman" w:hAnsi="Times New Roman" w:cs="Times New Roman"/>
          <w:sz w:val="24"/>
          <w:szCs w:val="24"/>
        </w:rPr>
        <w:tab/>
      </w:r>
      <w:r w:rsidRPr="00286297">
        <w:rPr>
          <w:rFonts w:ascii="Times New Roman" w:hAnsi="Times New Roman" w:cs="Times New Roman"/>
          <w:sz w:val="24"/>
          <w:szCs w:val="24"/>
        </w:rPr>
        <w:tab/>
        <w:t>А.И.Ореханов</w:t>
      </w:r>
    </w:p>
    <w:p w:rsidR="00286297" w:rsidRPr="00286297" w:rsidRDefault="00286297" w:rsidP="002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Разослать: дело-1, ФО-1, для обнародования – 5.</w:t>
      </w:r>
    </w:p>
    <w:p w:rsidR="006C3FD0" w:rsidRDefault="006C3FD0" w:rsidP="002862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2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Пояснительная записка к проекту 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297">
        <w:rPr>
          <w:rFonts w:ascii="Times New Roman" w:hAnsi="Times New Roman" w:cs="Times New Roman"/>
          <w:b/>
          <w:sz w:val="24"/>
          <w:szCs w:val="24"/>
          <w:u w:val="single"/>
        </w:rPr>
        <w:t>бюджета Эссойльского сельского  поселения на 2016 год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29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Доходы бюджета Эссойльского сельского  поселения на </w:t>
      </w:r>
      <w:smartTag w:uri="urn:schemas-microsoft-com:office:smarttags" w:element="metricconverter">
        <w:smartTagPr>
          <w:attr w:name="ProductID" w:val="2016 г"/>
        </w:smartTagPr>
        <w:r w:rsidRPr="00286297">
          <w:rPr>
            <w:rFonts w:ascii="Times New Roman" w:hAnsi="Times New Roman" w:cs="Times New Roman"/>
            <w:b/>
            <w:sz w:val="24"/>
            <w:szCs w:val="24"/>
            <w:u w:val="single"/>
          </w:rPr>
          <w:t>2016 г</w:t>
        </w:r>
      </w:smartTag>
      <w:r w:rsidRPr="002862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В основу расчета  прогноза поступления доходов по  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Эссойльскому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 сельскому поселению на 2016 год положены: 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а) основные показатели прогноза социально-экономического развития поселения в предстоящем году;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б) отчетность налоговых органов, органов федерального казначейства;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29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) прогнозные показатели объемов межбюджетных трансфертов из бюджетов другого уровня. 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Объем доходов бюджета Эссойльского сельского поселения определен на 2016 год  в сумме</w:t>
      </w:r>
      <w:r w:rsidRPr="00286297">
        <w:rPr>
          <w:rFonts w:ascii="Times New Roman" w:hAnsi="Times New Roman" w:cs="Times New Roman"/>
          <w:b/>
          <w:sz w:val="24"/>
          <w:szCs w:val="24"/>
        </w:rPr>
        <w:t xml:space="preserve"> 16203,3</w:t>
      </w:r>
      <w:r w:rsidRPr="00286297">
        <w:rPr>
          <w:rFonts w:ascii="Times New Roman" w:hAnsi="Times New Roman" w:cs="Times New Roman"/>
          <w:sz w:val="24"/>
          <w:szCs w:val="24"/>
        </w:rPr>
        <w:t xml:space="preserve"> т. руб., в том числе: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- собственные  доходы составляют </w:t>
      </w:r>
      <w:r w:rsidRPr="00286297">
        <w:rPr>
          <w:rFonts w:ascii="Times New Roman" w:hAnsi="Times New Roman" w:cs="Times New Roman"/>
          <w:b/>
          <w:sz w:val="24"/>
          <w:szCs w:val="24"/>
        </w:rPr>
        <w:t>14744,3</w:t>
      </w:r>
      <w:r w:rsidRPr="00286297">
        <w:rPr>
          <w:rFonts w:ascii="Times New Roman" w:hAnsi="Times New Roman" w:cs="Times New Roman"/>
          <w:sz w:val="24"/>
          <w:szCs w:val="24"/>
        </w:rPr>
        <w:t xml:space="preserve"> т. руб. (в том числе доходы от компенсации затрат бюджета Эссойльского сельского поселения – 200 т. руб., доходы от оказания платных услуг –220 т. руб.), 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- субвенция на осуществление первичного воинского учета на территориях, где отсутствуют военные комиссариаты – 189 т. руб., 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- субвенция на создание и обеспечение деятельности комиссий, определение перечня должностных лиц, уполномоченных составлять протоколы – 2 т. руб., 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прочие безвозмездные поступления учреждениям, находящимся в ведении органов местного самоуправления поселения – 50 т. руб.,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дотация на выравнивание – 1218 т. руб.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>Собственные доходы: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5"/>
        <w:gridCol w:w="1606"/>
      </w:tblGrid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1104,3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7947,0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Доходы от акцизов на ГСМ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4798,0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получателями средств бюджетов поселений и компенсация затрат бюджетов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86297" w:rsidRPr="00286297" w:rsidTr="005B677B">
        <w:trPr>
          <w:cantSplit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14744,3</w:t>
            </w:r>
          </w:p>
        </w:tc>
      </w:tr>
    </w:tbl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Основным доходным источником является земельный налог, который определен в сумме 7947 т. руб. и составляет 54 % от общей суммы предполагаемых  к поступлению доходов.</w:t>
      </w:r>
    </w:p>
    <w:p w:rsidR="00286297" w:rsidRPr="00286297" w:rsidRDefault="00286297" w:rsidP="0028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Прогноз налога на доходы физических лиц по ставке 13 %  рассчитан на основе  согласованного с Министерством экономического развития Республики Карелия фонда  оплаты труда по 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Эссойльскому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 сельскому поселению с учетом необлагаемой его части. </w:t>
      </w:r>
      <w:r w:rsidRPr="00286297">
        <w:rPr>
          <w:rFonts w:ascii="Times New Roman" w:hAnsi="Times New Roman" w:cs="Times New Roman"/>
          <w:sz w:val="24"/>
          <w:szCs w:val="24"/>
        </w:rPr>
        <w:lastRenderedPageBreak/>
        <w:t>Фонд заработной платы   уменьшен на сумму установленных федеральным законодательством вычетов (вычеты, предоставляемые налоговыми агентами при определении налоговой базы, имущественные и социальные). Размер вычетов, предоставляемых налоговыми агентами при определении налоговой базы,  определен на основе данных налоговых органов о базе налогообложения.</w:t>
      </w:r>
    </w:p>
    <w:p w:rsidR="00286297" w:rsidRPr="00286297" w:rsidRDefault="00286297" w:rsidP="00286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Показатель социальных имущественных вычетов определен по данным отчета налоговых органов по форме 5 НДФЛ «Отчет о налоговой базе и структуре начислений по налогу на доходы физических лиц за 2014 год, удерживаемому налоговыми агентами».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В бюджете  на 2016 год запланировано налога на доходы физических лиц с доходов, облагаемых по ставке 13 %, в сумме 114,3 т. руб. Данная сумма рассчитана по формуле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(ФЗП-В)*13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НДФЛ по ставке 13%= ---------------- * 4 %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100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Фонд заработной платы (ФЗП) по 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Эссойльскому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 сельскому поселению 228831,7 тыс. руб.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Имущественные и социальные вычеты – 18031,9 т. руб. (репрезентативная ставка налога – 7,88 %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>.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13% - ставка  налога на доходы физических лиц, установленная действующим законодательством, от облагаемых доходов физических лиц.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         (228831,7.р.- 18031,9 т.р.)*13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НДФЛ по ст.13%=  -------------------------------------- =  27404 т. руб.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100    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297">
        <w:rPr>
          <w:rFonts w:ascii="Times New Roman" w:hAnsi="Times New Roman" w:cs="Times New Roman"/>
          <w:sz w:val="24"/>
          <w:szCs w:val="24"/>
        </w:rPr>
        <w:tab/>
        <w:t>С учетом 4 % отчислений в бюджет поселения ожидаемые поступления составят 1096,2  т. руб.</w:t>
      </w:r>
    </w:p>
    <w:p w:rsidR="00286297" w:rsidRPr="00286297" w:rsidRDefault="00286297" w:rsidP="00286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Кроме того, планируется к получению:</w:t>
      </w:r>
    </w:p>
    <w:p w:rsidR="00286297" w:rsidRPr="00286297" w:rsidRDefault="00286297" w:rsidP="00286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налог на доходы физических лиц с доходов, полученных от 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 адвокатские кабинеты – 1 т. руб.;</w:t>
      </w:r>
    </w:p>
    <w:p w:rsidR="00286297" w:rsidRPr="00286297" w:rsidRDefault="00286297" w:rsidP="00286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налог на доходы физических лиц с выигрышей и призов – 3 т. руб.;</w:t>
      </w:r>
    </w:p>
    <w:p w:rsidR="00286297" w:rsidRPr="00286297" w:rsidRDefault="00286297" w:rsidP="00286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– 4,1 т. руб.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ab/>
      </w:r>
    </w:p>
    <w:p w:rsidR="00286297" w:rsidRPr="00286297" w:rsidRDefault="00286297" w:rsidP="00286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Размер отчислений с 10% по Бюджетному кодексу Российской Федерации снижен до 2% с 01.01.2015 г. по бюджетам сельских поселений, 2% - дополнительный норматив, установленный Республикой Карелия.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5525" cy="17907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Прогноз  поступления единого сельскохозяйственного налога  на 2016 год рассчитан исходя из его ожидаемого поступления в 2015 году. Прогноз поступления в бюджет Эссойльского сельского поселения в 2016 году определен с учетом норматива зачисления в размере 30 %  в сумме 35 т. руб.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43775" cy="212407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>Налог на имущество физических лиц</w:t>
      </w:r>
    </w:p>
    <w:p w:rsidR="00286297" w:rsidRPr="00286297" w:rsidRDefault="00286297" w:rsidP="00286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В расчет данного налогового источника принята ставка налога в размере 0,1 % на имущество с инвентаризационной стоимостью до 300 т. руб., 0,3 % на имущество с инвентаризационной стоимостью от 300 т. руб. до 500 т. руб., 2 % - с инвентаризационной стоимостью свыше 500 т. руб.</w:t>
      </w:r>
    </w:p>
    <w:p w:rsidR="00286297" w:rsidRPr="00286297" w:rsidRDefault="00286297" w:rsidP="00286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r w:rsidRPr="00286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297">
        <w:rPr>
          <w:rFonts w:ascii="Times New Roman" w:hAnsi="Times New Roman" w:cs="Times New Roman"/>
          <w:sz w:val="24"/>
          <w:szCs w:val="24"/>
        </w:rPr>
        <w:t xml:space="preserve">прогнозировался по величине ожидаемого поступления в 2015 году и исходя из отчета  по форме 5-МН «О налоговой базе и структуре начислений  по налогу на имущество физических лиц» МИ ФНС № 10 по РК. Согласно статье 61 Бюджетного кодекса Российской Федерации 100 % сумма налога в объеме 110 т. руб. подлежит зачислению в бюджет поселения. 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3225" cy="19431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 xml:space="preserve">Земельный налог. 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Прогнозируемая величина  земельного налога 7947 т. руб. рассчитана на анализе данных прогнозного поступления налога в 2015 году и отчета  по форме 5-МН «О налоговой базе и структуре начислений  по земельному налогу» МИ ФНС № 10 по РК.</w:t>
      </w:r>
    </w:p>
    <w:p w:rsidR="00286297" w:rsidRPr="00286297" w:rsidRDefault="00286297" w:rsidP="00286297">
      <w:pPr>
        <w:pStyle w:val="1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8629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34175" cy="17907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286297">
        <w:rPr>
          <w:rFonts w:ascii="Times New Roman" w:hAnsi="Times New Roman" w:cs="Times New Roman"/>
          <w:sz w:val="24"/>
          <w:szCs w:val="24"/>
        </w:rPr>
        <w:tab/>
      </w:r>
      <w:r w:rsidRPr="00286297">
        <w:rPr>
          <w:rFonts w:ascii="Times New Roman" w:hAnsi="Times New Roman" w:cs="Times New Roman"/>
          <w:b w:val="0"/>
          <w:sz w:val="24"/>
          <w:szCs w:val="24"/>
        </w:rPr>
        <w:t xml:space="preserve">Решением </w:t>
      </w:r>
      <w:r w:rsidRPr="00286297">
        <w:rPr>
          <w:rFonts w:ascii="Times New Roman" w:hAnsi="Times New Roman" w:cs="Times New Roman"/>
          <w:b w:val="0"/>
          <w:sz w:val="24"/>
          <w:szCs w:val="24"/>
          <w:lang w:val="en-US"/>
        </w:rPr>
        <w:t>XXII</w:t>
      </w:r>
      <w:r w:rsidRPr="00286297">
        <w:rPr>
          <w:rFonts w:ascii="Times New Roman" w:hAnsi="Times New Roman" w:cs="Times New Roman"/>
          <w:b w:val="0"/>
          <w:sz w:val="24"/>
          <w:szCs w:val="24"/>
        </w:rPr>
        <w:t xml:space="preserve"> сессии Совета Эссойльского сельского поселения  </w:t>
      </w:r>
      <w:r w:rsidRPr="00286297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286297">
        <w:rPr>
          <w:rFonts w:ascii="Times New Roman" w:hAnsi="Times New Roman" w:cs="Times New Roman"/>
          <w:b w:val="0"/>
          <w:sz w:val="24"/>
          <w:szCs w:val="24"/>
        </w:rPr>
        <w:t xml:space="preserve"> созыва от 05.05.2015 г. утверждены пониженные ставки налога в отношении земельных участков:</w:t>
      </w:r>
    </w:p>
    <w:p w:rsidR="00286297" w:rsidRPr="00286297" w:rsidRDefault="00286297" w:rsidP="00286297">
      <w:pPr>
        <w:pStyle w:val="1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86297">
        <w:rPr>
          <w:rFonts w:ascii="Times New Roman" w:hAnsi="Times New Roman" w:cs="Times New Roman"/>
          <w:b w:val="0"/>
          <w:sz w:val="24"/>
          <w:szCs w:val="24"/>
        </w:rPr>
        <w:t>- занятых объектами органов местного самоуправления, казенных учреждений социальной сферы в размере 0,3 %;</w:t>
      </w:r>
    </w:p>
    <w:p w:rsidR="00286297" w:rsidRPr="00286297" w:rsidRDefault="00286297" w:rsidP="00286297">
      <w:pPr>
        <w:pStyle w:val="1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86297">
        <w:rPr>
          <w:rFonts w:ascii="Times New Roman" w:hAnsi="Times New Roman" w:cs="Times New Roman"/>
          <w:b w:val="0"/>
          <w:sz w:val="24"/>
          <w:szCs w:val="24"/>
        </w:rPr>
        <w:t xml:space="preserve">- занятых объектами промышленных и производственных предприятий и (или) их филиалами, объектами торговли и общественного питания и (или) их филиалами, объектами предприятий по оказанию бытовых услуг населению и (или) их филиалами, осуществляющими свою деятельность и состоящими на налоговом учете на территории </w:t>
      </w:r>
      <w:proofErr w:type="spellStart"/>
      <w:r w:rsidRPr="00286297">
        <w:rPr>
          <w:rFonts w:ascii="Times New Roman" w:hAnsi="Times New Roman" w:cs="Times New Roman"/>
          <w:b w:val="0"/>
          <w:sz w:val="24"/>
          <w:szCs w:val="24"/>
        </w:rPr>
        <w:t>Пряжинского</w:t>
      </w:r>
      <w:proofErr w:type="spellEnd"/>
      <w:r w:rsidRPr="00286297">
        <w:rPr>
          <w:rFonts w:ascii="Times New Roman" w:hAnsi="Times New Roman" w:cs="Times New Roman"/>
          <w:b w:val="0"/>
          <w:sz w:val="24"/>
          <w:szCs w:val="24"/>
        </w:rPr>
        <w:t xml:space="preserve"> национального муниципального района в размере 0,7 %.</w:t>
      </w:r>
    </w:p>
    <w:p w:rsidR="00286297" w:rsidRPr="00286297" w:rsidRDefault="00286297" w:rsidP="00286297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Государственная пошлина за совершение нотариальных действий должностными лицами органов местного самоуправления в 2016 году  зачисляется  бюджет поселения   в полном объеме.</w:t>
      </w: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Прогнозируемая величина  государственной пошлины 15,0 т. руб. рассчитана на анализе данных прогнозного поступления  в 2015 году.</w:t>
      </w:r>
    </w:p>
    <w:p w:rsidR="00286297" w:rsidRPr="00286297" w:rsidRDefault="00286297" w:rsidP="00286297">
      <w:pPr>
        <w:pStyle w:val="ConsPlusNormal"/>
        <w:tabs>
          <w:tab w:val="left" w:pos="3600"/>
        </w:tabs>
        <w:jc w:val="center"/>
      </w:pPr>
      <w:r w:rsidRPr="00286297">
        <w:rPr>
          <w:noProof/>
        </w:rPr>
        <w:drawing>
          <wp:inline distT="0" distB="0" distL="0" distR="0">
            <wp:extent cx="6734175" cy="1952625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286297">
        <w:rPr>
          <w:b/>
        </w:rPr>
        <w:t xml:space="preserve"> Акцизы по подакцизным товарам (продукции), производимой на территории Российской Федерации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Дифференцированный норматив отчислений в бюджет Эссойльского сельского поселения установлен в размере 0,2276 %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) двигателей, производимые на территории Российской Федерации, согласно приложению 13 к Закону Республики Карелия «О бюджете Республики Карелия на 2016 год». Сумма доходов по данному источнику запланирована в сумме  4798 т. руб. </w:t>
      </w:r>
    </w:p>
    <w:p w:rsidR="00286297" w:rsidRPr="00286297" w:rsidRDefault="00286297" w:rsidP="002862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34175" cy="162877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286297" w:rsidRPr="00286297" w:rsidRDefault="00286297" w:rsidP="00286297">
      <w:pPr>
        <w:pStyle w:val="31"/>
        <w:spacing w:after="0" w:line="240" w:lineRule="auto"/>
        <w:ind w:left="851" w:firstLine="360"/>
        <w:rPr>
          <w:sz w:val="24"/>
          <w:szCs w:val="24"/>
        </w:rPr>
      </w:pPr>
      <w:r w:rsidRPr="00286297">
        <w:rPr>
          <w:sz w:val="24"/>
          <w:szCs w:val="24"/>
        </w:rPr>
        <w:t>Прогноз неналоговых доходов бюджета Эссойльского сельского поселения на 2016 год определен в сумме  315 т. руб., в том числе:</w:t>
      </w:r>
    </w:p>
    <w:p w:rsidR="00286297" w:rsidRPr="00286297" w:rsidRDefault="00286297" w:rsidP="00286297">
      <w:pPr>
        <w:numPr>
          <w:ilvl w:val="0"/>
          <w:numId w:val="2"/>
        </w:numPr>
        <w:tabs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поселений – 300,0 т. руб.;</w:t>
      </w:r>
    </w:p>
    <w:p w:rsidR="00286297" w:rsidRPr="00286297" w:rsidRDefault="00286297" w:rsidP="00286297">
      <w:pPr>
        <w:numPr>
          <w:ilvl w:val="0"/>
          <w:numId w:val="2"/>
        </w:numPr>
        <w:tabs>
          <w:tab w:val="num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Доходы от реализации материальных запасов – 15,0 т. руб.</w:t>
      </w:r>
      <w:r w:rsidRPr="002862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3050" cy="154305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86297" w:rsidRPr="00286297" w:rsidRDefault="00286297" w:rsidP="00286297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получателями средств </w:t>
      </w:r>
    </w:p>
    <w:p w:rsidR="00286297" w:rsidRPr="00286297" w:rsidRDefault="00286297" w:rsidP="00286297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бюджета Эссойльского сельского поселения </w:t>
      </w:r>
    </w:p>
    <w:p w:rsidR="00286297" w:rsidRPr="00286297" w:rsidRDefault="00286297" w:rsidP="002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pStyle w:val="31"/>
        <w:spacing w:after="0" w:line="240" w:lineRule="auto"/>
        <w:rPr>
          <w:sz w:val="24"/>
          <w:szCs w:val="24"/>
        </w:rPr>
      </w:pPr>
      <w:r w:rsidRPr="00286297">
        <w:rPr>
          <w:sz w:val="24"/>
          <w:szCs w:val="24"/>
        </w:rPr>
        <w:t xml:space="preserve">Общая сумма указанных доходов запланирована в размере 220,0 т. руб. </w:t>
      </w:r>
      <w:r w:rsidRPr="00286297">
        <w:rPr>
          <w:noProof/>
          <w:sz w:val="24"/>
          <w:szCs w:val="24"/>
        </w:rPr>
        <w:drawing>
          <wp:inline distT="0" distB="0" distL="0" distR="0">
            <wp:extent cx="6677025" cy="1781175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86297" w:rsidRPr="00286297" w:rsidRDefault="00286297" w:rsidP="00286297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lastRenderedPageBreak/>
        <w:t>Доходы от компенсации затрат</w:t>
      </w:r>
    </w:p>
    <w:p w:rsidR="00286297" w:rsidRPr="00286297" w:rsidRDefault="00286297" w:rsidP="00286297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бюджета Эссойльского сельского поселения 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Общая сумма указанных доходов запланирована в размере 200,0 т. руб. </w:t>
      </w:r>
      <w:r w:rsidRPr="002862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34175" cy="1790700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>Прочие безвозмездные поступления учреждениям, находящимся в ведении органов местного самоуправления поселений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pStyle w:val="31"/>
        <w:spacing w:after="0" w:line="240" w:lineRule="auto"/>
        <w:rPr>
          <w:sz w:val="24"/>
          <w:szCs w:val="24"/>
        </w:rPr>
      </w:pPr>
      <w:r w:rsidRPr="00286297">
        <w:rPr>
          <w:sz w:val="24"/>
          <w:szCs w:val="24"/>
        </w:rPr>
        <w:t xml:space="preserve">Общая сумма указанных доходов запланирована в размере 50,0 т. руб. </w:t>
      </w:r>
    </w:p>
    <w:p w:rsidR="00286297" w:rsidRPr="00286297" w:rsidRDefault="00286297" w:rsidP="00286297">
      <w:pPr>
        <w:pStyle w:val="31"/>
        <w:spacing w:after="0" w:line="240" w:lineRule="auto"/>
        <w:ind w:firstLine="0"/>
        <w:rPr>
          <w:sz w:val="24"/>
          <w:szCs w:val="24"/>
        </w:rPr>
      </w:pPr>
    </w:p>
    <w:p w:rsidR="00286297" w:rsidRPr="00286297" w:rsidRDefault="00286297" w:rsidP="00286297">
      <w:pPr>
        <w:pStyle w:val="31"/>
        <w:spacing w:after="0" w:line="240" w:lineRule="auto"/>
        <w:rPr>
          <w:sz w:val="24"/>
          <w:szCs w:val="24"/>
        </w:rPr>
      </w:pPr>
      <w:r w:rsidRPr="00286297">
        <w:rPr>
          <w:noProof/>
          <w:sz w:val="24"/>
          <w:szCs w:val="24"/>
        </w:rPr>
        <w:drawing>
          <wp:inline distT="0" distB="0" distL="0" distR="0">
            <wp:extent cx="6124575" cy="1628775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86297" w:rsidRPr="00286297" w:rsidRDefault="00286297" w:rsidP="002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Общая сумма расходов бюджета Эссойльского сельского поселения определена в размере </w:t>
      </w:r>
      <w:r w:rsidRPr="00286297">
        <w:rPr>
          <w:rFonts w:ascii="Times New Roman" w:hAnsi="Times New Roman" w:cs="Times New Roman"/>
          <w:b/>
          <w:sz w:val="24"/>
          <w:szCs w:val="24"/>
        </w:rPr>
        <w:t>16203,3</w:t>
      </w:r>
      <w:r w:rsidRPr="0028629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>ублей.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Расходы на заработную плату и ЕСН предусмотрены из расчета на 12 месяцев.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01 «Общегосударственные вопросы»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>Подраздел 0102 «Функционирование высшего должностного лица субъекта РФ и органа местного самоуправления»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 подразделу предусмотрены расходы на содержание Главы Эссойльского сельского поселения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738,2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</w:t>
      </w:r>
      <w:r w:rsidRPr="00286297">
        <w:rPr>
          <w:rFonts w:ascii="Times New Roman" w:hAnsi="Times New Roman" w:cs="Times New Roman"/>
          <w:sz w:val="24"/>
          <w:szCs w:val="24"/>
        </w:rPr>
        <w:t>., в том числе на оплату труда 567 тыс.руб. и страховые взносы с зарплаты 171,2 тыс.руб.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Подраздел 0104 « Функционирование Правительства РФ, высших органов исполнительной власти субъектов РФ, местных администраций»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на содержание администрации Эссойльского сельского поселения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1836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уб.,</w:t>
      </w:r>
      <w:r w:rsidRPr="00286297">
        <w:rPr>
          <w:rFonts w:ascii="Times New Roman" w:hAnsi="Times New Roman" w:cs="Times New Roman"/>
          <w:sz w:val="24"/>
          <w:szCs w:val="24"/>
        </w:rPr>
        <w:t xml:space="preserve"> в том числе на оплату труда 980 тыс.рублей, страховые взносы с зарплаты 296 тыс.руб., прочие выплаты – 50 тыс.руб., услуги связи (оплата договоров на оказание услуг  связи, приобретение почтовых марок, конвертов) 87 тыс.руб., коммунальные услуги 180 тыс.руб., услуги по содержанию имущества (заправка картриджа, ремонт оргтехники, текущий ремонт) 45 тыс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 xml:space="preserve">уб.,  прочие услуги (оплата договоров с внештатными сотрудниками, страхование, программное обеспечение) 166 тыс.руб.,  прочие расходы 30 т.р. 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Предусмотрена субвенция на создание и обеспечение деятельности комиссий, определение перечня должностных лиц, уполномоченных составлять протоколы – 2 т. руб.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>Подраздел 0113 «Другие общегосударственные вопросы»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Расходы всего </w:t>
      </w:r>
      <w:r w:rsidRPr="00286297">
        <w:rPr>
          <w:rFonts w:ascii="Times New Roman" w:hAnsi="Times New Roman" w:cs="Times New Roman"/>
          <w:b/>
          <w:sz w:val="24"/>
          <w:szCs w:val="24"/>
        </w:rPr>
        <w:t>312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</w:t>
      </w:r>
      <w:r w:rsidRPr="00286297">
        <w:rPr>
          <w:rFonts w:ascii="Times New Roman" w:hAnsi="Times New Roman" w:cs="Times New Roman"/>
          <w:sz w:val="24"/>
          <w:szCs w:val="24"/>
        </w:rPr>
        <w:t>., из них: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расходы за счет средств от предпринимательской деятельности предусмотрены в сумме 150 тыс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>ублей: на содержание имущества 5 тыс.руб., на прочие услуги 20 тыс.руб., прочие расходы 105 тыс.руб., на приобретение основных средств 10 тыс.руб., на хозяйственные расходы 10 тыс.руб.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297">
        <w:rPr>
          <w:rFonts w:ascii="Times New Roman" w:hAnsi="Times New Roman" w:cs="Times New Roman"/>
          <w:sz w:val="24"/>
          <w:szCs w:val="24"/>
        </w:rPr>
        <w:t xml:space="preserve">- прочие услуги – 60 т.р., прочие расходы – 100 т.р. (налоги) за счет бюджета, </w:t>
      </w:r>
      <w:proofErr w:type="gramEnd"/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на добровольную народную дружину предусмотрено 1 тыс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 xml:space="preserve">уб., 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на осуществление мероприятий по обеспечению безопасности населения при посещении водоемов – 1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2 «Национальная оборона»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>Подраздел 0203 «Мобилизационная и вневойсковая подготовка»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за счет средств целевой субвенции на осуществление первичного воинского учета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189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</w:t>
      </w:r>
      <w:r w:rsidRPr="00286297">
        <w:rPr>
          <w:rFonts w:ascii="Times New Roman" w:hAnsi="Times New Roman" w:cs="Times New Roman"/>
          <w:sz w:val="24"/>
          <w:szCs w:val="24"/>
        </w:rPr>
        <w:t>. (зарплата 145,2 т.р., взносы 43,8 т.р.).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3 «Национальная безопасность»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>Подраздел 0309 «Чрезвычайные ситуации»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</w:t>
      </w:r>
      <w:r w:rsidRPr="00286297">
        <w:rPr>
          <w:rFonts w:ascii="Times New Roman" w:hAnsi="Times New Roman" w:cs="Times New Roman"/>
          <w:b/>
          <w:sz w:val="24"/>
          <w:szCs w:val="24"/>
        </w:rPr>
        <w:t>5 т.р.</w:t>
      </w:r>
      <w:r w:rsidRPr="0028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4 «Национальная экономика»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>Подраздел 0409 «Дорожное хозяйство (дорожные фонды)»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4798 т.р.</w:t>
      </w:r>
      <w:r w:rsidRPr="00286297">
        <w:rPr>
          <w:rFonts w:ascii="Times New Roman" w:hAnsi="Times New Roman" w:cs="Times New Roman"/>
          <w:sz w:val="24"/>
          <w:szCs w:val="24"/>
        </w:rPr>
        <w:t xml:space="preserve"> в рамках муниципального дорожного фонда Эссойльского сельского поселения, который формируется в соответствии с решением Совета поселения за счет поступлений от акцизов на ГСМ.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5 «Жилищно-коммунальное хозяйство»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>Подраздел 0503 «Благоустройство»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1952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уб.</w:t>
      </w:r>
      <w:r w:rsidRPr="00286297">
        <w:rPr>
          <w:rFonts w:ascii="Times New Roman" w:hAnsi="Times New Roman" w:cs="Times New Roman"/>
          <w:sz w:val="24"/>
          <w:szCs w:val="24"/>
        </w:rPr>
        <w:t>, в том числе  на благоустройство 1500 тыс.руб. (из них на детскую площадку 800 тыс.руб.), расходы на уличное освещение 450 тыс.руб., на озеленение 2 тыс.рублей.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07 «Образование»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6297" w:rsidRPr="00286297" w:rsidRDefault="00286297" w:rsidP="00286297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>0707 «Молодежная политика»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предусмотрено расходов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6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</w:t>
      </w:r>
      <w:r w:rsidRPr="00286297">
        <w:rPr>
          <w:rFonts w:ascii="Times New Roman" w:hAnsi="Times New Roman" w:cs="Times New Roman"/>
          <w:sz w:val="24"/>
          <w:szCs w:val="24"/>
        </w:rPr>
        <w:t>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8 «Культура, кинематография и средства массовой информации»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>Подраздел 0801 «Культура»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6072,3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уб.</w:t>
      </w:r>
      <w:r w:rsidRPr="00286297">
        <w:rPr>
          <w:rFonts w:ascii="Times New Roman" w:hAnsi="Times New Roman" w:cs="Times New Roman"/>
          <w:sz w:val="24"/>
          <w:szCs w:val="24"/>
        </w:rPr>
        <w:t>, в том числе на: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1) МКУ «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Этно-культурный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 центр «КИЕЛЕН КИРЬЮ»» - 4868,8 т.р. (в том числе за счет платных услуг – 250 тыс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>уб.)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297">
        <w:rPr>
          <w:rFonts w:ascii="Times New Roman" w:hAnsi="Times New Roman" w:cs="Times New Roman"/>
          <w:sz w:val="24"/>
          <w:szCs w:val="24"/>
          <w:u w:val="single"/>
        </w:rPr>
        <w:t>В том числе: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зарплата 2755,2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страховые взносы 832,1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прочие выплаты 20 тыс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связь 40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коммунальные услуги 840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содержание имущества (225 ст.)  - 100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прочие услуги (226 ст.) - 30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прочие расходы  - 1,5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за счет платных услуг 250 тыс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>уб. (содержание имущества (225 ст.)  10 т.р., прочие услуги (226 ст.) 55 т.р., прочие расходы 40 т.р., основные средства 30 т.р., приобретение материальных запасов 115 т.р.)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2) МКУ «Бухгалтерия Эссойльского сельского поселения» - 1203,5 т.р., 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297">
        <w:rPr>
          <w:rFonts w:ascii="Times New Roman" w:hAnsi="Times New Roman" w:cs="Times New Roman"/>
          <w:sz w:val="24"/>
          <w:szCs w:val="24"/>
          <w:u w:val="single"/>
        </w:rPr>
        <w:t>в том числе: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зарплата – 577,2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страховые взносы 174,3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содержание имущества (225 ст.) – 150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- прочие услуги (226 ст.) 117 т.р. 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прочие расходы –15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материальные запасы – 150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проезд к месту отдыха – 20 т.р.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10 «Социальная политика»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предусмотрено расходов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190,8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уб.</w:t>
      </w:r>
      <w:r w:rsidRPr="00286297">
        <w:rPr>
          <w:rFonts w:ascii="Times New Roman" w:hAnsi="Times New Roman" w:cs="Times New Roman"/>
          <w:sz w:val="24"/>
          <w:szCs w:val="24"/>
        </w:rPr>
        <w:t xml:space="preserve"> на доплаты к муниципальной пенсии.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11 «Физическая культура и спорт»</w:t>
      </w: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 xml:space="preserve"> «Физическая культура и спорт»</w:t>
      </w:r>
    </w:p>
    <w:p w:rsidR="00286297" w:rsidRPr="00286297" w:rsidRDefault="00286297" w:rsidP="002862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lastRenderedPageBreak/>
        <w:t xml:space="preserve">По данному подразделу предусмотрено расходов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10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уб.</w:t>
      </w:r>
      <w:r w:rsidRPr="00286297">
        <w:rPr>
          <w:rFonts w:ascii="Times New Roman" w:hAnsi="Times New Roman" w:cs="Times New Roman"/>
          <w:sz w:val="24"/>
          <w:szCs w:val="24"/>
        </w:rPr>
        <w:t xml:space="preserve"> на спортивные мероприятия на территории Эссойльского сельского поселения.</w:t>
      </w:r>
    </w:p>
    <w:p w:rsidR="00286297" w:rsidRPr="00286297" w:rsidRDefault="00286297" w:rsidP="0028629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  <w:highlight w:val="lightGray"/>
        </w:rPr>
        <w:t>Раздел 14 «Межбюджетные трансферты»</w:t>
      </w:r>
    </w:p>
    <w:p w:rsidR="00286297" w:rsidRPr="00286297" w:rsidRDefault="00286297" w:rsidP="00286297">
      <w:pPr>
        <w:tabs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tabs>
          <w:tab w:val="left" w:pos="796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297">
        <w:rPr>
          <w:rFonts w:ascii="Times New Roman" w:hAnsi="Times New Roman" w:cs="Times New Roman"/>
          <w:b/>
          <w:i/>
          <w:sz w:val="24"/>
          <w:szCs w:val="24"/>
        </w:rPr>
        <w:t xml:space="preserve"> «Иные межбюджетные трансферты»</w:t>
      </w:r>
      <w:r w:rsidRPr="0028629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86297" w:rsidRPr="00286297" w:rsidRDefault="00286297" w:rsidP="00286297">
      <w:pPr>
        <w:tabs>
          <w:tab w:val="left" w:pos="79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средства в сумме </w:t>
      </w:r>
      <w:r w:rsidRPr="00286297">
        <w:rPr>
          <w:rFonts w:ascii="Times New Roman" w:hAnsi="Times New Roman" w:cs="Times New Roman"/>
          <w:b/>
          <w:sz w:val="24"/>
          <w:szCs w:val="24"/>
        </w:rPr>
        <w:t>94 тыс</w:t>
      </w:r>
      <w:proofErr w:type="gramStart"/>
      <w:r w:rsidRPr="002862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86297">
        <w:rPr>
          <w:rFonts w:ascii="Times New Roman" w:hAnsi="Times New Roman" w:cs="Times New Roman"/>
          <w:b/>
          <w:sz w:val="24"/>
          <w:szCs w:val="24"/>
        </w:rPr>
        <w:t>уб</w:t>
      </w:r>
      <w:r w:rsidRPr="00286297">
        <w:rPr>
          <w:rFonts w:ascii="Times New Roman" w:hAnsi="Times New Roman" w:cs="Times New Roman"/>
          <w:sz w:val="24"/>
          <w:szCs w:val="24"/>
        </w:rPr>
        <w:t xml:space="preserve">., передаваемые из бюджета Эссойльского сельского поселения бюджету 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 муниципального района на исполнение полномочий, в том числе:</w:t>
      </w:r>
    </w:p>
    <w:p w:rsidR="00286297" w:rsidRPr="00286297" w:rsidRDefault="00286297" w:rsidP="00286297">
      <w:pPr>
        <w:tabs>
          <w:tab w:val="left" w:pos="79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>- на формирование бюджета 94 т.р.</w:t>
      </w: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8629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86297" w:rsidRPr="00286297" w:rsidRDefault="00286297" w:rsidP="002862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решению XXVIII сессии Совета </w:t>
      </w:r>
    </w:p>
    <w:p w:rsidR="00286297" w:rsidRPr="00286297" w:rsidRDefault="00286297" w:rsidP="002862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Эссойльского сельского поселения </w:t>
      </w:r>
    </w:p>
    <w:p w:rsidR="00286297" w:rsidRPr="00286297" w:rsidRDefault="00286297" w:rsidP="002862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III созыва от 25 декабря </w:t>
      </w:r>
      <w:smartTag w:uri="urn:schemas-microsoft-com:office:smarttags" w:element="metricconverter">
        <w:smartTagPr>
          <w:attr w:name="ProductID" w:val="2015 г"/>
        </w:smartTagPr>
        <w:r w:rsidRPr="00286297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286297">
        <w:rPr>
          <w:rFonts w:ascii="Times New Roman" w:hAnsi="Times New Roman" w:cs="Times New Roman"/>
          <w:sz w:val="24"/>
          <w:szCs w:val="24"/>
        </w:rPr>
        <w:t xml:space="preserve">. № 36 </w:t>
      </w:r>
    </w:p>
    <w:p w:rsidR="00286297" w:rsidRPr="00286297" w:rsidRDefault="00286297" w:rsidP="002862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«О бюджете Эссойльского 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297" w:rsidRPr="00286297" w:rsidRDefault="00286297" w:rsidP="002862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поселения на 2016 год»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 xml:space="preserve">Перечень главных распорядителей средств бюджета 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97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на 2016 год 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286297" w:rsidRPr="00286297" w:rsidTr="005B677B">
        <w:tc>
          <w:tcPr>
            <w:tcW w:w="9855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распорядителя средств бюджета Эссойльского сельского поселения</w:t>
            </w:r>
          </w:p>
        </w:tc>
      </w:tr>
      <w:tr w:rsidR="00286297" w:rsidRPr="00286297" w:rsidTr="005B677B">
        <w:tc>
          <w:tcPr>
            <w:tcW w:w="9855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</w:tr>
    </w:tbl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5"/>
        <w:gridCol w:w="2410"/>
        <w:gridCol w:w="1842"/>
        <w:gridCol w:w="3744"/>
      </w:tblGrid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gridBefore w:val="1"/>
          <w:wBefore w:w="1985" w:type="dxa"/>
          <w:cantSplit/>
          <w:trHeight w:val="2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 решению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XXVIII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сессии Совета Эссойльского сельского поселения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III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созыва от 25 декабря 2015 года №36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«О бюджете Эссойльского сельского  поселения на 2016</w:t>
            </w:r>
          </w:p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год»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97" w:rsidRPr="00286297" w:rsidRDefault="00286297" w:rsidP="005B677B">
            <w:pPr>
              <w:pStyle w:val="5"/>
              <w:rPr>
                <w:sz w:val="24"/>
              </w:rPr>
            </w:pPr>
            <w:r w:rsidRPr="00286297">
              <w:rPr>
                <w:sz w:val="24"/>
              </w:rPr>
              <w:t xml:space="preserve">Перечень главных администраторов доходов бюджета  </w:t>
            </w:r>
          </w:p>
          <w:p w:rsidR="00286297" w:rsidRPr="00286297" w:rsidRDefault="00286297" w:rsidP="005B677B">
            <w:pPr>
              <w:pStyle w:val="5"/>
              <w:rPr>
                <w:sz w:val="24"/>
              </w:rPr>
            </w:pPr>
            <w:r w:rsidRPr="00286297">
              <w:rPr>
                <w:sz w:val="24"/>
              </w:rPr>
              <w:t xml:space="preserve">Эссойльского сельского поселения, закрепляемые за ними виды (подвиды) доходов бюджета Эссойльского сельского поселения на 2016 год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395" w:type="dxa"/>
            <w:gridSpan w:val="2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86" w:type="dxa"/>
            <w:gridSpan w:val="2"/>
            <w:vMerge w:val="restart"/>
            <w:vAlign w:val="bottom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Наименование главного администратора доходов  и вида (подвида) доходов бюджета Эссойльского  сельского поселения</w:t>
            </w:r>
          </w:p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доходов бюджета Эссойльского сельского </w:t>
            </w:r>
          </w:p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5586" w:type="dxa"/>
            <w:gridSpan w:val="2"/>
            <w:vMerge/>
            <w:vAlign w:val="bottom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Пряжинского</w:t>
            </w:r>
            <w:proofErr w:type="spellEnd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национального  муниципального района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1 11 05013 10 0000 120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1 11 05013 10 1000 120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1 11 05013 10 2000 120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1 11 05013 10 3000 120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1 11 05013 10 4000 120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1 14 06013 10 0000 430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1 14 06013 10 1000 430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1 14 06013 10 2000 430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1 14 06013 10 3000 430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1 14 06013 10 4000 430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2 02 01009 10 0000 151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Дотации бюджетам сельских поселений на поощрение </w:t>
            </w:r>
            <w:proofErr w:type="gram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2 02 01999 10 0000 151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016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Территориальные органы Федерального казначейства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уплаты акцизов на моторные масла для дизельных и (или</w:t>
            </w:r>
            <w:proofErr w:type="gram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)к</w:t>
            </w:r>
            <w:proofErr w:type="gram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арбюраторных (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Территориальные органы Федеральной налоговой службы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и 228 Налогового кодекса Российской Федерации* </w:t>
            </w:r>
          </w:p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Налог на доходы физических лиц, с доходов,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*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Налогового кодекса Российской Федерации *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Единый сельскохозяйственный налог *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1 05 03020 01 0000 110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ind w:hanging="3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года)*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*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*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*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 *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Администрация Эссойльского сельского  поселения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1 11 05027 10 0000 120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726 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1 16 21050 10 0000 140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 договорам страхования выступают получатели средств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1 16 46000 10 0000 140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поступления 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2 02 02003 10 0000 151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2 02 02009 10 0000 151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2 02 02021 10 0000 151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2 02 02041 10 0000 151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 автомобильных дорог федерального значения)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2 02 02051 10 0000 151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2 02 02071 10 0000 151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предоставление грантов в области науки, культуры, искусства и средств массовой информации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2 02 02077 10 0000 151 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2 02 02078 10 0000 151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2 02 02079 10 0000 151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 и (или) жилищного фонда с высоким уровнем износа (более 70 процентов)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2 02 02080 10 0000 151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726 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2 02 02081 10 0000 151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Субсидии бюджетам сельских поселений на мероприятия по обеспечению жильем иных категорий граждан на основании решений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Правительства Российской Федерации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2 02 02088 10 0001 151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2 02 02088 10 0002 151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2 02 02088 10 0004 151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gram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2 02 02088 10 0005 151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2 02 02089 10 0001 151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2 02 02089 10 0002 151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2 02 02089 10 0004 151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gram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средств бюджетов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2 02 02089 10 0005 151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2 02 02109 10 0000 151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проведение капитального ремонта многоквартирных домов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2 02 02132 10 0000 151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2 02 02136 10 0000 151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Субсидии бюджетам сельских поселений на реализацию программ повышения эффективности бюджетных расходов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726 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2 02 02216 10 0000 151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 дворовых территорий многоквартирных домов, проездов к дворовым территориям многоквартирных домов </w:t>
            </w:r>
            <w:proofErr w:type="gram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селенных пунктов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2 02 02998 10 0000 151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2 02 03002 10 0000 151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2 02 03022 10 0000 151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2 02 03025 10 0000 151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726 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2 02 03073 10 0000 151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Субвенции бюджетам сельских поселений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2 02 03999 10 0000 151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2 02 04012 10 0000 151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Межбюджетные трансферты, передаваемые 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бюджетам сельских поселений 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2 02 04029 10 0000 151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pStyle w:val="ConsPlusNormal"/>
              <w:jc w:val="both"/>
            </w:pPr>
            <w:r w:rsidRPr="00286297"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2 02 04041 10 0000 151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pStyle w:val="ConsPlusNormal"/>
              <w:jc w:val="both"/>
            </w:pPr>
            <w:r w:rsidRPr="00286297"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2 02 04052 10 0000 151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2 02 04053 10 0000 151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2 02 04059 10 0000 151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на поощрение </w:t>
            </w:r>
            <w:proofErr w:type="gram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2 02 04061 10 0000 151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2 03 05030 10 0000 180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Безвозмездные поступления  в бюджеты сельских поселений от государственной корпорации - Фонда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содействия реформированию жилищно-коммунального хозяйства на обеспечение мероприятий по капитальному ремонту многоквартирных домов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2 03 05040 10 0000 180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Безвозмездные поступления в 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2 03 05050 10 0000 180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Безвозмездные поступления в 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Иные доходы бюджета Эссойльского сельского поселения, администрирование которых может осуществляться главными администраторами доходов бюджета Эссойльского сельского поселения в пределах их компетенции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поступления от использования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Платежи, взимаемые организациями сельских поселений за выполнение определенных функций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страхования выступают получатели средств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1 16 32050 10 0000 140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Возмещений сумм, израсходованных незаконно или не по целевому назначению, а так же доходов, полученных от их использования (в части бюджетов сельских поселений)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поступления 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2 02 03999 10 0000 151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5" w:type="dxa"/>
            <w:tcBorders>
              <w:left w:val="single" w:sz="4" w:space="0" w:color="000000"/>
            </w:tcBorders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297" w:rsidRPr="00286297" w:rsidRDefault="00286297" w:rsidP="005B677B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586" w:type="dxa"/>
            <w:gridSpan w:val="2"/>
            <w:vAlign w:val="bottom"/>
          </w:tcPr>
          <w:p w:rsidR="00286297" w:rsidRPr="00286297" w:rsidRDefault="00286297" w:rsidP="005B677B">
            <w:pPr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286297" w:rsidRPr="00286297" w:rsidRDefault="00286297" w:rsidP="00286297">
      <w:pPr>
        <w:spacing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86297" w:rsidRPr="00286297" w:rsidRDefault="00286297" w:rsidP="00286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&lt;*&gt; Администрирование поступлений по всем программам соответствующей статьи осуществляется администратором, указанным в </w:t>
      </w:r>
      <w:proofErr w:type="spellStart"/>
      <w:r w:rsidRPr="00286297">
        <w:rPr>
          <w:rFonts w:ascii="Times New Roman" w:hAnsi="Times New Roman" w:cs="Times New Roman"/>
          <w:sz w:val="24"/>
          <w:szCs w:val="24"/>
        </w:rPr>
        <w:t>группировочном</w:t>
      </w:r>
      <w:proofErr w:type="spellEnd"/>
      <w:r w:rsidRPr="00286297">
        <w:rPr>
          <w:rFonts w:ascii="Times New Roman" w:hAnsi="Times New Roman" w:cs="Times New Roman"/>
          <w:sz w:val="24"/>
          <w:szCs w:val="24"/>
        </w:rPr>
        <w:t xml:space="preserve"> коде бюджетной классификации</w:t>
      </w:r>
    </w:p>
    <w:p w:rsidR="00286297" w:rsidRPr="00286297" w:rsidRDefault="00286297" w:rsidP="00286297">
      <w:pPr>
        <w:pStyle w:val="ac"/>
        <w:spacing w:line="240" w:lineRule="auto"/>
        <w:rPr>
          <w:sz w:val="24"/>
          <w:szCs w:val="24"/>
        </w:rPr>
      </w:pPr>
    </w:p>
    <w:p w:rsidR="00286297" w:rsidRDefault="00286297" w:rsidP="00286297">
      <w:pPr>
        <w:tabs>
          <w:tab w:val="left" w:pos="142"/>
          <w:tab w:val="left" w:pos="1418"/>
        </w:tabs>
        <w:spacing w:line="240" w:lineRule="auto"/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0"/>
        <w:gridCol w:w="1419"/>
        <w:gridCol w:w="1070"/>
        <w:gridCol w:w="2408"/>
        <w:gridCol w:w="3404"/>
      </w:tblGrid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gridBefore w:val="2"/>
          <w:wBefore w:w="3399" w:type="dxa"/>
          <w:cantSplit/>
          <w:trHeight w:val="298"/>
        </w:trPr>
        <w:tc>
          <w:tcPr>
            <w:tcW w:w="6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                    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Приложение № 3 к решению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XXVIII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сессии Совета  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</w:t>
            </w:r>
          </w:p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           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Эссойльского сельского поселения </w:t>
            </w:r>
          </w:p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                          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III</w:t>
            </w: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созыва от 25 декабря 2015 года</w:t>
            </w:r>
          </w:p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                          №36 «О бюджете Эссойльского </w:t>
            </w:r>
          </w:p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                          сельского поселения на 2016 год»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gridAfter w:val="1"/>
          <w:wAfter w:w="3404" w:type="dxa"/>
          <w:cantSplit/>
          <w:trHeight w:val="298"/>
        </w:trPr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0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297" w:rsidRPr="00286297" w:rsidRDefault="00286297" w:rsidP="00286297">
            <w:pPr>
              <w:tabs>
                <w:tab w:val="left" w:pos="47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Перечень</w:t>
            </w:r>
          </w:p>
          <w:p w:rsidR="00286297" w:rsidRPr="00286297" w:rsidRDefault="00286297" w:rsidP="00286297">
            <w:pPr>
              <w:tabs>
                <w:tab w:val="left" w:pos="47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главных администраторов источников финансирования дефицита бюджета </w:t>
            </w:r>
          </w:p>
          <w:p w:rsidR="00286297" w:rsidRPr="00286297" w:rsidRDefault="00286297" w:rsidP="00286297">
            <w:pPr>
              <w:tabs>
                <w:tab w:val="left" w:pos="47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Эссойльского сельского поселения на 2016 год </w:t>
            </w:r>
          </w:p>
          <w:p w:rsidR="00286297" w:rsidRPr="00286297" w:rsidRDefault="00286297" w:rsidP="00286297">
            <w:pPr>
              <w:tabs>
                <w:tab w:val="left" w:pos="47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469" w:type="dxa"/>
            <w:gridSpan w:val="3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gridSpan w:val="2"/>
            <w:vMerge w:val="restart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Эссойльского сельского поселения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</w:t>
            </w:r>
          </w:p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тора источников </w:t>
            </w:r>
            <w:proofErr w:type="spellStart"/>
            <w:proofErr w:type="gramStart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дефицита бюджета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5812" w:type="dxa"/>
            <w:gridSpan w:val="2"/>
            <w:vMerge/>
            <w:vAlign w:val="bottom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Пряжинского</w:t>
            </w:r>
            <w:proofErr w:type="spellEnd"/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национального муниципального района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Администрация Эссойльского сельского поселения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Погашение бюджетами сельских поселений кредитов от  кредитных организаций в валюте Российской Федерации 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</w:t>
            </w:r>
            <w:proofErr w:type="spellEnd"/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86297" w:rsidRPr="00286297" w:rsidTr="005B677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980" w:type="dxa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489" w:type="dxa"/>
            <w:gridSpan w:val="2"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gridSpan w:val="2"/>
            <w:vAlign w:val="bottom"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86297" w:rsidRPr="00286297" w:rsidRDefault="00286297" w:rsidP="00286297">
      <w:pPr>
        <w:pStyle w:val="ac"/>
        <w:spacing w:line="240" w:lineRule="auto"/>
        <w:ind w:firstLine="0"/>
        <w:rPr>
          <w:sz w:val="24"/>
          <w:szCs w:val="24"/>
        </w:rPr>
      </w:pPr>
    </w:p>
    <w:tbl>
      <w:tblPr>
        <w:tblW w:w="13161" w:type="dxa"/>
        <w:tblInd w:w="93" w:type="dxa"/>
        <w:tblLook w:val="04A0"/>
      </w:tblPr>
      <w:tblGrid>
        <w:gridCol w:w="809"/>
        <w:gridCol w:w="3990"/>
        <w:gridCol w:w="639"/>
        <w:gridCol w:w="621"/>
        <w:gridCol w:w="1523"/>
        <w:gridCol w:w="579"/>
        <w:gridCol w:w="1339"/>
        <w:gridCol w:w="261"/>
        <w:gridCol w:w="222"/>
        <w:gridCol w:w="222"/>
        <w:gridCol w:w="222"/>
        <w:gridCol w:w="222"/>
        <w:gridCol w:w="440"/>
        <w:gridCol w:w="1400"/>
        <w:gridCol w:w="222"/>
        <w:gridCol w:w="960"/>
      </w:tblGrid>
      <w:tr w:rsidR="00286297" w:rsidRPr="00286297" w:rsidTr="00286297">
        <w:trPr>
          <w:trHeight w:val="255"/>
        </w:trPr>
        <w:tc>
          <w:tcPr>
            <w:tcW w:w="101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Финансовый орган </w:t>
            </w:r>
            <w:proofErr w:type="spellStart"/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Пряжинского</w:t>
            </w:r>
            <w:proofErr w:type="spellEnd"/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национального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 № 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 решению XXVIII сессии Совета Эссойльского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сельского поселения III созыва от 25.12.2015 г.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№36 "О бюджете Эссойльского </w:t>
            </w:r>
            <w:proofErr w:type="gramStart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поселения на 2016 год</w:t>
            </w:r>
            <w:proofErr w:type="gramStart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Эссойльского сельского поселения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главным распорядителям бюджетных средств, разделам, подразделам и целевым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статьям, группам и подгруппам </w:t>
            </w:r>
            <w:proofErr w:type="gramStart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2016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2 886,2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738,2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738,2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0020003000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738,2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0020003000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738,2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1 836,0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1 836,0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Выполнение функции органами местного самоуправления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1 834,0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1 276,0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201,0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11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(Субвенции)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3000042140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3000042140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96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передаваемых полномочий РФ по первичному воинскому учету на </w:t>
            </w:r>
            <w:proofErr w:type="spellStart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трииториях</w:t>
            </w:r>
            <w:proofErr w:type="spellEnd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, где отсутствуют военные комиссариаты в рамках </w:t>
            </w:r>
            <w:proofErr w:type="spellStart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3000051180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3000051180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2180002000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2180002000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99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3150002010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3150002010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1 952,0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1 952,0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1 952,0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6000003000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6000003000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6000005000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6000005000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0050007000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0050007000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6 072,3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4 868,8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4 868,8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культуры</w:t>
            </w:r>
            <w:proofErr w:type="gramStart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,д</w:t>
            </w:r>
            <w:proofErr w:type="gramEnd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ругие</w:t>
            </w:r>
            <w:proofErr w:type="spellEnd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 учреждения культуры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4 868,8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3 587,3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1 170,0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1 203,5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1 203,5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1 203,5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751,5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Закон РК "О муниципальной службе в Республике Карелия" 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5050092010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5050092010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5120000000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5120000000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16 203,3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29" w:type="dxa"/>
        <w:tblInd w:w="93" w:type="dxa"/>
        <w:tblLook w:val="04A0"/>
      </w:tblPr>
      <w:tblGrid>
        <w:gridCol w:w="809"/>
        <w:gridCol w:w="3703"/>
        <w:gridCol w:w="646"/>
        <w:gridCol w:w="628"/>
        <w:gridCol w:w="1541"/>
        <w:gridCol w:w="586"/>
        <w:gridCol w:w="1355"/>
        <w:gridCol w:w="261"/>
        <w:gridCol w:w="222"/>
        <w:gridCol w:w="222"/>
        <w:gridCol w:w="222"/>
        <w:gridCol w:w="222"/>
        <w:gridCol w:w="440"/>
        <w:gridCol w:w="1400"/>
        <w:gridCol w:w="222"/>
        <w:gridCol w:w="960"/>
      </w:tblGrid>
      <w:tr w:rsidR="00286297" w:rsidRPr="00286297" w:rsidTr="00286297">
        <w:trPr>
          <w:trHeight w:val="255"/>
        </w:trPr>
        <w:tc>
          <w:tcPr>
            <w:tcW w:w="9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Финансовый орган </w:t>
            </w:r>
            <w:proofErr w:type="spellStart"/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Пряжинского</w:t>
            </w:r>
            <w:proofErr w:type="spellEnd"/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национального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 № 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 решению XXVIII  </w:t>
            </w:r>
            <w:proofErr w:type="spellStart"/>
            <w:proofErr w:type="gramStart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proofErr w:type="gramEnd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ессии</w:t>
            </w:r>
            <w:proofErr w:type="spellEnd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Совета Эссойльского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сельского поселения III созыва от 25.12.2015 г.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№36 "О бюджете Эссойльского </w:t>
            </w:r>
            <w:proofErr w:type="gramStart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поселения на 2016 год</w:t>
            </w:r>
            <w:proofErr w:type="gramStart"/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целевым статьям, группам и подгруппам видов расходов классификации расходов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бюджетов на 2016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2 886,2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738,2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738,2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0020003000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738,2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0020003000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738,2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1 836,0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1 836,0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Выполнение функции органами местного самоуправления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1 834,0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1 276,0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201,0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0020009000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11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(Субвенции)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3000042140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3000042140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96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передаваемых полномочий РФ по первичному воинскому учету на </w:t>
            </w:r>
            <w:proofErr w:type="spellStart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трииториях</w:t>
            </w:r>
            <w:proofErr w:type="spellEnd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, где отсутствуют военные комиссариаты в рамках </w:t>
            </w:r>
            <w:proofErr w:type="spellStart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189,0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2180002000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0309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2180002000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99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3150002010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3150002010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4 798,0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1 952,0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1 952,0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1 952,0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6000003000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6000003000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6000005000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6000005000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0050007000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0050007000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6 072,3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4 868,8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4 868,8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культуры</w:t>
            </w:r>
            <w:proofErr w:type="gramStart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,д</w:t>
            </w:r>
            <w:proofErr w:type="gramEnd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ругие</w:t>
            </w:r>
            <w:proofErr w:type="spellEnd"/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 учреждения культуры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4 868,8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3 587,3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1 170,0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0030019000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1 203,5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1 203,5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1 203,5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751,5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0030031000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Закон РК "О муниципальной службе в Республике Карелия"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5050092010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5050092010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5120000000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5120000000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0050001000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94,0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297" w:rsidRPr="00286297" w:rsidTr="00286297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8629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62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16 203,3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tabs>
          <w:tab w:val="center" w:pos="5031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86297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86297" w:rsidRPr="00286297" w:rsidRDefault="00286297" w:rsidP="002862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решению XXVIII сессии Совета </w:t>
      </w:r>
    </w:p>
    <w:p w:rsidR="00286297" w:rsidRPr="00286297" w:rsidRDefault="00286297" w:rsidP="002862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Эссойльского сельского поселения </w:t>
      </w:r>
    </w:p>
    <w:p w:rsidR="00286297" w:rsidRPr="00286297" w:rsidRDefault="00286297" w:rsidP="002862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III созыва от 25 декабря </w:t>
      </w:r>
      <w:smartTag w:uri="urn:schemas-microsoft-com:office:smarttags" w:element="metricconverter">
        <w:smartTagPr>
          <w:attr w:name="ProductID" w:val="2015 г"/>
        </w:smartTagPr>
        <w:r w:rsidRPr="00286297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286297">
        <w:rPr>
          <w:rFonts w:ascii="Times New Roman" w:hAnsi="Times New Roman" w:cs="Times New Roman"/>
          <w:sz w:val="24"/>
          <w:szCs w:val="24"/>
        </w:rPr>
        <w:t xml:space="preserve">. № 36 </w:t>
      </w:r>
    </w:p>
    <w:p w:rsidR="00286297" w:rsidRPr="00286297" w:rsidRDefault="00286297" w:rsidP="002862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«О бюджете Эссойльского </w:t>
      </w:r>
      <w:proofErr w:type="gramStart"/>
      <w:r w:rsidRPr="0028629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28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297" w:rsidRPr="00286297" w:rsidRDefault="00286297" w:rsidP="002862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6297">
        <w:rPr>
          <w:rFonts w:ascii="Times New Roman" w:hAnsi="Times New Roman" w:cs="Times New Roman"/>
          <w:sz w:val="24"/>
          <w:szCs w:val="24"/>
        </w:rPr>
        <w:t xml:space="preserve">                                    поселения на 2016 год»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86297">
        <w:rPr>
          <w:rFonts w:ascii="Times New Roman" w:hAnsi="Times New Roman" w:cs="Times New Roman"/>
          <w:b/>
          <w:iCs/>
          <w:sz w:val="24"/>
          <w:szCs w:val="24"/>
        </w:rPr>
        <w:t xml:space="preserve">Объем средств, передаваемых из бюджета </w:t>
      </w:r>
      <w:r w:rsidRPr="00286297">
        <w:rPr>
          <w:rFonts w:ascii="Times New Roman" w:hAnsi="Times New Roman" w:cs="Times New Roman"/>
          <w:b/>
          <w:sz w:val="24"/>
          <w:szCs w:val="24"/>
        </w:rPr>
        <w:t>Эссойльского</w:t>
      </w:r>
      <w:r w:rsidRPr="00286297">
        <w:rPr>
          <w:rFonts w:ascii="Times New Roman" w:hAnsi="Times New Roman" w:cs="Times New Roman"/>
          <w:sz w:val="24"/>
          <w:szCs w:val="24"/>
        </w:rPr>
        <w:t xml:space="preserve"> </w:t>
      </w:r>
      <w:r w:rsidRPr="0028629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286297">
        <w:rPr>
          <w:rFonts w:ascii="Times New Roman" w:hAnsi="Times New Roman" w:cs="Times New Roman"/>
          <w:sz w:val="24"/>
          <w:szCs w:val="24"/>
        </w:rPr>
        <w:t xml:space="preserve"> </w:t>
      </w:r>
      <w:r w:rsidRPr="00286297">
        <w:rPr>
          <w:rFonts w:ascii="Times New Roman" w:hAnsi="Times New Roman" w:cs="Times New Roman"/>
          <w:b/>
          <w:iCs/>
          <w:sz w:val="24"/>
          <w:szCs w:val="24"/>
        </w:rPr>
        <w:t xml:space="preserve">поселения бюджету </w:t>
      </w:r>
      <w:proofErr w:type="spellStart"/>
      <w:r w:rsidRPr="00286297">
        <w:rPr>
          <w:rFonts w:ascii="Times New Roman" w:hAnsi="Times New Roman" w:cs="Times New Roman"/>
          <w:b/>
          <w:iCs/>
          <w:sz w:val="24"/>
          <w:szCs w:val="24"/>
        </w:rPr>
        <w:t>Пряжинского</w:t>
      </w:r>
      <w:proofErr w:type="spellEnd"/>
      <w:r w:rsidRPr="00286297">
        <w:rPr>
          <w:rFonts w:ascii="Times New Roman" w:hAnsi="Times New Roman" w:cs="Times New Roman"/>
          <w:b/>
          <w:iCs/>
          <w:sz w:val="24"/>
          <w:szCs w:val="24"/>
        </w:rPr>
        <w:t xml:space="preserve"> муниципального района на финансирование расходов, связанных с передачей </w:t>
      </w:r>
      <w:proofErr w:type="gramStart"/>
      <w:r w:rsidRPr="00286297">
        <w:rPr>
          <w:rFonts w:ascii="Times New Roman" w:hAnsi="Times New Roman" w:cs="Times New Roman"/>
          <w:b/>
          <w:iCs/>
          <w:sz w:val="24"/>
          <w:szCs w:val="24"/>
        </w:rPr>
        <w:t>осуществления части полномочий органов местного самоуправления</w:t>
      </w:r>
      <w:proofErr w:type="gramEnd"/>
      <w:r w:rsidRPr="0028629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86297">
        <w:rPr>
          <w:rFonts w:ascii="Times New Roman" w:hAnsi="Times New Roman" w:cs="Times New Roman"/>
          <w:b/>
          <w:sz w:val="24"/>
          <w:szCs w:val="24"/>
        </w:rPr>
        <w:t>Эссойльского</w:t>
      </w:r>
      <w:r w:rsidRPr="00286297">
        <w:rPr>
          <w:rFonts w:ascii="Times New Roman" w:hAnsi="Times New Roman" w:cs="Times New Roman"/>
          <w:sz w:val="24"/>
          <w:szCs w:val="24"/>
        </w:rPr>
        <w:t xml:space="preserve"> </w:t>
      </w:r>
      <w:r w:rsidRPr="0028629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286297">
        <w:rPr>
          <w:rFonts w:ascii="Times New Roman" w:hAnsi="Times New Roman" w:cs="Times New Roman"/>
          <w:sz w:val="24"/>
          <w:szCs w:val="24"/>
        </w:rPr>
        <w:t xml:space="preserve"> </w:t>
      </w:r>
      <w:r w:rsidRPr="00286297">
        <w:rPr>
          <w:rFonts w:ascii="Times New Roman" w:hAnsi="Times New Roman" w:cs="Times New Roman"/>
          <w:b/>
          <w:iCs/>
          <w:sz w:val="24"/>
          <w:szCs w:val="24"/>
        </w:rPr>
        <w:t xml:space="preserve">поселения органам местного самоуправления </w:t>
      </w:r>
      <w:proofErr w:type="spellStart"/>
      <w:r w:rsidRPr="00286297">
        <w:rPr>
          <w:rFonts w:ascii="Times New Roman" w:hAnsi="Times New Roman" w:cs="Times New Roman"/>
          <w:b/>
          <w:iCs/>
          <w:sz w:val="24"/>
          <w:szCs w:val="24"/>
        </w:rPr>
        <w:t>Пряжинского</w:t>
      </w:r>
      <w:proofErr w:type="spellEnd"/>
      <w:r w:rsidRPr="00286297">
        <w:rPr>
          <w:rFonts w:ascii="Times New Roman" w:hAnsi="Times New Roman" w:cs="Times New Roman"/>
          <w:b/>
          <w:iCs/>
          <w:sz w:val="24"/>
          <w:szCs w:val="24"/>
        </w:rPr>
        <w:t xml:space="preserve"> муниципального района</w:t>
      </w:r>
    </w:p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  <w:gridCol w:w="1080"/>
      </w:tblGrid>
      <w:tr w:rsidR="00286297" w:rsidRPr="00286297" w:rsidTr="005B67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286297" w:rsidRPr="00286297" w:rsidTr="005B67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полномочия «составление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86297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поселения»:</w:t>
            </w:r>
          </w:p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- составление проекта бюджета поселения;</w:t>
            </w:r>
          </w:p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- исполнение бюджета поселения, осуществление контроля за его исполнения;</w:t>
            </w:r>
          </w:p>
          <w:p w:rsidR="00286297" w:rsidRPr="00286297" w:rsidRDefault="00286297" w:rsidP="0028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- составление отчета об исполнении бюджета поселения.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86297" w:rsidRPr="00286297" w:rsidTr="005B677B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97" w:rsidRPr="00286297" w:rsidRDefault="00286297" w:rsidP="0028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29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</w:tbl>
    <w:p w:rsidR="00286297" w:rsidRPr="00286297" w:rsidRDefault="00286297" w:rsidP="00286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97" w:rsidRPr="00286297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6297" w:rsidRPr="00286297" w:rsidSect="00286297">
      <w:headerReference w:type="even" r:id="rId25"/>
      <w:headerReference w:type="default" r:id="rId26"/>
      <w:footerReference w:type="even" r:id="rId27"/>
      <w:footerReference w:type="default" r:id="rId28"/>
      <w:pgSz w:w="11906" w:h="16838" w:code="9"/>
      <w:pgMar w:top="1134" w:right="851" w:bottom="1418" w:left="1701" w:header="51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69" w:rsidRDefault="00C56ACA" w:rsidP="00E26EE1">
    <w:pPr>
      <w:pStyle w:val="ae"/>
      <w:framePr w:wrap="around" w:vAnchor="text" w:hAnchor="margin" w:xAlign="right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:rsidR="00E66369" w:rsidRDefault="00C56ACA" w:rsidP="00E26EE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69" w:rsidRDefault="00C56ACA" w:rsidP="00E26EE1">
    <w:pPr>
      <w:pStyle w:val="ae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69" w:rsidRDefault="00C56ACA" w:rsidP="00E26EE1">
    <w:pPr>
      <w:pStyle w:val="af0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:rsidR="00E66369" w:rsidRDefault="00C56A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69" w:rsidRDefault="00C56ACA" w:rsidP="00E26EE1">
    <w:pPr>
      <w:pStyle w:val="af0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separate"/>
    </w:r>
    <w:r w:rsidR="00286297">
      <w:rPr>
        <w:rStyle w:val="af2"/>
        <w:rFonts w:eastAsiaTheme="majorEastAsia"/>
        <w:noProof/>
      </w:rPr>
      <w:t>35</w:t>
    </w:r>
    <w:r>
      <w:rPr>
        <w:rStyle w:val="af2"/>
        <w:rFonts w:eastAsiaTheme="majorEastAsia"/>
      </w:rPr>
      <w:fldChar w:fldCharType="end"/>
    </w:r>
  </w:p>
  <w:p w:rsidR="00E66369" w:rsidRDefault="00C56A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7480"/>
    <w:rsid w:val="000B7C57"/>
    <w:rsid w:val="000C79E9"/>
    <w:rsid w:val="00113716"/>
    <w:rsid w:val="00170E65"/>
    <w:rsid w:val="00173C80"/>
    <w:rsid w:val="001B111A"/>
    <w:rsid w:val="00210E1E"/>
    <w:rsid w:val="00286297"/>
    <w:rsid w:val="002F7A11"/>
    <w:rsid w:val="0030533C"/>
    <w:rsid w:val="003113B1"/>
    <w:rsid w:val="003A50DD"/>
    <w:rsid w:val="004C1AAB"/>
    <w:rsid w:val="004D41C6"/>
    <w:rsid w:val="00534D45"/>
    <w:rsid w:val="00557820"/>
    <w:rsid w:val="00581D3F"/>
    <w:rsid w:val="005C1C13"/>
    <w:rsid w:val="0060770C"/>
    <w:rsid w:val="00686B76"/>
    <w:rsid w:val="006B58BC"/>
    <w:rsid w:val="006C1426"/>
    <w:rsid w:val="006C3FD0"/>
    <w:rsid w:val="00773ADB"/>
    <w:rsid w:val="00793DE1"/>
    <w:rsid w:val="007B177A"/>
    <w:rsid w:val="007C5AB8"/>
    <w:rsid w:val="00837BDE"/>
    <w:rsid w:val="00862159"/>
    <w:rsid w:val="008C59C8"/>
    <w:rsid w:val="009474B7"/>
    <w:rsid w:val="0096099F"/>
    <w:rsid w:val="00A450F9"/>
    <w:rsid w:val="00A673E9"/>
    <w:rsid w:val="00B71B42"/>
    <w:rsid w:val="00BD266C"/>
    <w:rsid w:val="00C201A3"/>
    <w:rsid w:val="00C33FC3"/>
    <w:rsid w:val="00C56ACA"/>
    <w:rsid w:val="00CB61DC"/>
    <w:rsid w:val="00CF5D4F"/>
    <w:rsid w:val="00D11967"/>
    <w:rsid w:val="00D946AC"/>
    <w:rsid w:val="00E333C9"/>
    <w:rsid w:val="00E57EC6"/>
    <w:rsid w:val="00EA6FA8"/>
    <w:rsid w:val="00EC25A1"/>
    <w:rsid w:val="00ED25D3"/>
    <w:rsid w:val="00ED7D04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paragraph" w:styleId="ae">
    <w:name w:val="footer"/>
    <w:basedOn w:val="a"/>
    <w:link w:val="af"/>
    <w:uiPriority w:val="99"/>
    <w:rsid w:val="0028629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8629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2862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286297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286297"/>
    <w:rPr>
      <w:rFonts w:cs="Times New Roman"/>
    </w:rPr>
  </w:style>
  <w:style w:type="character" w:styleId="af3">
    <w:name w:val="FollowedHyperlink"/>
    <w:basedOn w:val="a0"/>
    <w:uiPriority w:val="99"/>
    <w:semiHidden/>
    <w:unhideWhenUsed/>
    <w:rsid w:val="00286297"/>
    <w:rPr>
      <w:color w:val="800080"/>
      <w:u w:val="single"/>
    </w:rPr>
  </w:style>
  <w:style w:type="paragraph" w:customStyle="1" w:styleId="xl64">
    <w:name w:val="xl64"/>
    <w:basedOn w:val="a"/>
    <w:rsid w:val="002862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2862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2862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862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28629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862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8629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28629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2862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28629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8629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86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2862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86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8629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8629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8629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8629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86297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862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862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86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28629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28629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28629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2862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862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862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28629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862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862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286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2862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286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2862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2862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2862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286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286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862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83604BE75C29A64E7FDDD4DE2B296C4EACCF4150E542674CAF8B03078BCC9F25FC8D28274E66580C2F1BUD1AH" TargetMode="External"/><Relationship Id="rId13" Type="http://schemas.openxmlformats.org/officeDocument/2006/relationships/hyperlink" Target="consultantplus://offline/ref=8283604BE75C29A64E7FDDD4DE2B296C4EACCF4150E542674CAF8B03078BCC9F25FC8D28274E66580C2F15UD11H" TargetMode="External"/><Relationship Id="rId18" Type="http://schemas.openxmlformats.org/officeDocument/2006/relationships/chart" Target="charts/chart4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7" Type="http://schemas.openxmlformats.org/officeDocument/2006/relationships/hyperlink" Target="consultantplus://offline/ref=8283604BE75C29A64E7FDDD4DE2B296C4EACCF4150E542674CAF8B03078BCC9F25FC8D28274E66580C2F1BUD1AH" TargetMode="External"/><Relationship Id="rId12" Type="http://schemas.openxmlformats.org/officeDocument/2006/relationships/hyperlink" Target="consultantplus://offline/ref=8283604BE75C29A64E7FDDD4DE2B296C4EACCF4150E542674CAF8B03078BCC9F25FC8D28274E66580C2F14UD15H" TargetMode="External"/><Relationship Id="rId17" Type="http://schemas.openxmlformats.org/officeDocument/2006/relationships/chart" Target="charts/chart3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283604BE75C29A64E7FDDD4DE2B296C4EACCF4150E542674CAF8B03078BCC9F25FC8D28274E66580C2F15UD11H" TargetMode="External"/><Relationship Id="rId24" Type="http://schemas.openxmlformats.org/officeDocument/2006/relationships/chart" Target="charts/chart10.xml"/><Relationship Id="rId5" Type="http://schemas.openxmlformats.org/officeDocument/2006/relationships/image" Target="media/image1.png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8283604BE75C29A64E7FDDD4DE2B296C4EACCF4150E542674CAF8B03078BCC9F25FC8D28274E66580C2F14UD15H" TargetMode="Externa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DDD4DE2B296C4EACCF4150E542674CAF8B03078BCC9F25FC8D28274E66580C2F14UD17H" TargetMode="External"/><Relationship Id="rId14" Type="http://schemas.openxmlformats.org/officeDocument/2006/relationships/hyperlink" Target="consultantplus://offline/ref=8283604BE75C29A64E7FC3D9C8477E614BA4924851E2493515F0D05E5082C6C862B3D4696646U61FH" TargetMode="External"/><Relationship Id="rId22" Type="http://schemas.openxmlformats.org/officeDocument/2006/relationships/chart" Target="charts/chart8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71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7113237639553428"/>
          <c:y val="5.0847457627118682E-2"/>
          <c:w val="0.65071770334928258"/>
          <c:h val="0.7627118644067798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- 2981,1</c:v>
                </c:pt>
                <c:pt idx="1">
                  <c:v>2015г (оценка)-849,8</c:v>
                </c:pt>
                <c:pt idx="2">
                  <c:v>Прогноз на 2016 г.-1104,3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2981.1</c:v>
                </c:pt>
                <c:pt idx="1">
                  <c:v>849.8</c:v>
                </c:pt>
                <c:pt idx="2">
                  <c:v>1104.3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- 2981,1</c:v>
                </c:pt>
                <c:pt idx="1">
                  <c:v>2015г (оценка)-849,8</c:v>
                </c:pt>
                <c:pt idx="2">
                  <c:v>Прогноз на 2016 г.-1104,3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- 2981,1</c:v>
                </c:pt>
                <c:pt idx="1">
                  <c:v>2015г (оценка)-849,8</c:v>
                </c:pt>
                <c:pt idx="2">
                  <c:v>Прогноз на 2016 г.-1104,3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- 2981,1</c:v>
                </c:pt>
                <c:pt idx="1">
                  <c:v>2015г (оценка)-849,8</c:v>
                </c:pt>
                <c:pt idx="2">
                  <c:v>Прогноз на 2016 г.-1104,3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- 2981,1</c:v>
                </c:pt>
                <c:pt idx="1">
                  <c:v>2015г (оценка)-849,8</c:v>
                </c:pt>
                <c:pt idx="2">
                  <c:v>Прогноз на 2016 г.-1104,3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- 2981,1</c:v>
                </c:pt>
                <c:pt idx="1">
                  <c:v>2015г (оценка)-849,8</c:v>
                </c:pt>
                <c:pt idx="2">
                  <c:v>Прогноз на 2016 г.-1104,3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215954176"/>
        <c:axId val="215956864"/>
        <c:axId val="0"/>
      </c:bar3DChart>
      <c:catAx>
        <c:axId val="215954176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5956864"/>
        <c:crosses val="autoZero"/>
        <c:lblAlgn val="ctr"/>
        <c:lblOffset val="100"/>
        <c:tickLblSkip val="1"/>
        <c:tickMarkSkip val="1"/>
      </c:catAx>
      <c:valAx>
        <c:axId val="21595686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59541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16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880382775119625"/>
          <c:y val="5.6249999999999994E-2"/>
          <c:w val="0.67783094098883589"/>
          <c:h val="0.73750000000000004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- 25,7</c:v>
                </c:pt>
                <c:pt idx="1">
                  <c:v>2015г (9 мес)-140,7</c:v>
                </c:pt>
                <c:pt idx="2">
                  <c:v>Прогноз на 2016 г.-50,0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25.7</c:v>
                </c:pt>
                <c:pt idx="1">
                  <c:v>140.69999999999999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- 25,7</c:v>
                </c:pt>
                <c:pt idx="1">
                  <c:v>2015г (9 мес)-140,7</c:v>
                </c:pt>
                <c:pt idx="2">
                  <c:v>Прогноз на 2016 г.-50,0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- 25,7</c:v>
                </c:pt>
                <c:pt idx="1">
                  <c:v>2015г (9 мес)-140,7</c:v>
                </c:pt>
                <c:pt idx="2">
                  <c:v>Прогноз на 2016 г.-50,0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- 25,7</c:v>
                </c:pt>
                <c:pt idx="1">
                  <c:v>2015г (9 мес)-140,7</c:v>
                </c:pt>
                <c:pt idx="2">
                  <c:v>Прогноз на 2016 г.-50,0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- 25,7</c:v>
                </c:pt>
                <c:pt idx="1">
                  <c:v>2015г (9 мес)-140,7</c:v>
                </c:pt>
                <c:pt idx="2">
                  <c:v>Прогноз на 2016 г.-50,0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- 25,7</c:v>
                </c:pt>
                <c:pt idx="1">
                  <c:v>2015г (9 мес)-140,7</c:v>
                </c:pt>
                <c:pt idx="2">
                  <c:v>Прогноз на 2016 г.-50,0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206049664"/>
        <c:axId val="206051200"/>
        <c:axId val="0"/>
      </c:bar3DChart>
      <c:catAx>
        <c:axId val="206049664"/>
        <c:scaling>
          <c:orientation val="minMax"/>
        </c:scaling>
        <c:axPos val="l"/>
        <c:numFmt formatCode="General" sourceLinked="1"/>
        <c:tickLblPos val="low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051200"/>
        <c:crosses val="autoZero"/>
        <c:lblAlgn val="ctr"/>
        <c:lblOffset val="100"/>
        <c:tickLblSkip val="1"/>
        <c:tickMarkSkip val="1"/>
      </c:catAx>
      <c:valAx>
        <c:axId val="206051200"/>
        <c:scaling>
          <c:orientation val="minMax"/>
        </c:scaling>
        <c:axPos val="b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049664"/>
        <c:crosses val="autoZero"/>
        <c:crossBetween val="between"/>
      </c:valAx>
      <c:spPr>
        <a:solidFill>
          <a:srgbClr val="C0C0C0"/>
        </a:solidFill>
        <a:ln w="1274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47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9735099337748344"/>
          <c:y val="4.2654028436018961E-2"/>
          <c:w val="0.68079470198675496"/>
          <c:h val="0.8009478672985788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96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- 96,9</c:v>
                </c:pt>
                <c:pt idx="1">
                  <c:v>2015г. (9 мес.)-21,9</c:v>
                </c:pt>
                <c:pt idx="2">
                  <c:v>Прогноз на 2016 г - 35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96.9</c:v>
                </c:pt>
                <c:pt idx="1">
                  <c:v>21.9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96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- 96,9</c:v>
                </c:pt>
                <c:pt idx="1">
                  <c:v>2015г. (9 мес.)-21,9</c:v>
                </c:pt>
                <c:pt idx="2">
                  <c:v>Прогноз на 2016 г - 35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96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- 96,9</c:v>
                </c:pt>
                <c:pt idx="1">
                  <c:v>2015г. (9 мес.)-21,9</c:v>
                </c:pt>
                <c:pt idx="2">
                  <c:v>Прогноз на 2016 г - 35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96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- 96,9</c:v>
                </c:pt>
                <c:pt idx="1">
                  <c:v>2015г. (9 мес.)-21,9</c:v>
                </c:pt>
                <c:pt idx="2">
                  <c:v>Прогноз на 2016 г - 35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96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- 96,9</c:v>
                </c:pt>
                <c:pt idx="1">
                  <c:v>2015г. (9 мес.)-21,9</c:v>
                </c:pt>
                <c:pt idx="2">
                  <c:v>Прогноз на 2016 г - 35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96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- 96,9</c:v>
                </c:pt>
                <c:pt idx="1">
                  <c:v>2015г. (9 мес.)-21,9</c:v>
                </c:pt>
                <c:pt idx="2">
                  <c:v>Прогноз на 2016 г - 35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216399872"/>
        <c:axId val="216519040"/>
        <c:axId val="0"/>
      </c:bar3DChart>
      <c:catAx>
        <c:axId val="216399872"/>
        <c:scaling>
          <c:orientation val="minMax"/>
        </c:scaling>
        <c:axPos val="l"/>
        <c:numFmt formatCode="General" sourceLinked="1"/>
        <c:tickLblPos val="low"/>
        <c:spPr>
          <a:ln w="31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6519040"/>
        <c:crosses val="autoZero"/>
        <c:lblAlgn val="ctr"/>
        <c:lblOffset val="100"/>
        <c:tickLblSkip val="1"/>
        <c:tickMarkSkip val="1"/>
      </c:catAx>
      <c:valAx>
        <c:axId val="216519040"/>
        <c:scaling>
          <c:orientation val="minMax"/>
        </c:scaling>
        <c:axPos val="b"/>
        <c:majorGridlines>
          <c:spPr>
            <a:ln w="319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6399872"/>
        <c:crosses val="autoZero"/>
        <c:crossBetween val="between"/>
      </c:valAx>
      <c:spPr>
        <a:solidFill>
          <a:srgbClr val="C0C0C0"/>
        </a:solidFill>
        <a:ln w="12796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73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933621933621938"/>
          <c:y val="4.6632124352331647E-2"/>
          <c:w val="0.71284271284271283"/>
          <c:h val="0.7823834196891194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- 121,5</c:v>
                </c:pt>
                <c:pt idx="1">
                  <c:v>2015г (9 мес)-108,6</c:v>
                </c:pt>
                <c:pt idx="2">
                  <c:v>Прогноз на 2016 г.-110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121.5</c:v>
                </c:pt>
                <c:pt idx="1">
                  <c:v>108.6</c:v>
                </c:pt>
                <c:pt idx="2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- 121,5</c:v>
                </c:pt>
                <c:pt idx="1">
                  <c:v>2015г (9 мес)-108,6</c:v>
                </c:pt>
                <c:pt idx="2">
                  <c:v>Прогноз на 2016 г.-110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- 121,5</c:v>
                </c:pt>
                <c:pt idx="1">
                  <c:v>2015г (9 мес)-108,6</c:v>
                </c:pt>
                <c:pt idx="2">
                  <c:v>Прогноз на 2016 г.-110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- 121,5</c:v>
                </c:pt>
                <c:pt idx="1">
                  <c:v>2015г (9 мес)-108,6</c:v>
                </c:pt>
                <c:pt idx="2">
                  <c:v>Прогноз на 2016 г.-110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- 121,5</c:v>
                </c:pt>
                <c:pt idx="1">
                  <c:v>2015г (9 мес)-108,6</c:v>
                </c:pt>
                <c:pt idx="2">
                  <c:v>Прогноз на 2016 г.-110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- 121,5</c:v>
                </c:pt>
                <c:pt idx="1">
                  <c:v>2015г (9 мес)-108,6</c:v>
                </c:pt>
                <c:pt idx="2">
                  <c:v>Прогноз на 2016 г.-110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220656768"/>
        <c:axId val="221937664"/>
        <c:axId val="0"/>
      </c:bar3DChart>
      <c:catAx>
        <c:axId val="220656768"/>
        <c:scaling>
          <c:orientation val="minMax"/>
        </c:scaling>
        <c:axPos val="l"/>
        <c:numFmt formatCode="General" sourceLinked="1"/>
        <c:tickLblPos val="low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1937664"/>
        <c:crosses val="autoZero"/>
        <c:lblAlgn val="ctr"/>
        <c:lblOffset val="100"/>
        <c:tickLblSkip val="1"/>
        <c:tickMarkSkip val="1"/>
      </c:catAx>
      <c:valAx>
        <c:axId val="221937664"/>
        <c:scaling>
          <c:orientation val="minMax"/>
        </c:scaling>
        <c:axPos val="b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0656768"/>
        <c:crosses val="autoZero"/>
        <c:crossBetween val="between"/>
      </c:valAx>
      <c:spPr>
        <a:solidFill>
          <a:srgbClr val="C0C0C0"/>
        </a:solidFill>
        <a:ln w="12744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32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167872648335739"/>
          <c:y val="5.3254437869822494E-2"/>
          <c:w val="0.6830680173661362"/>
          <c:h val="0.7514792899408283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-4525,7</c:v>
                </c:pt>
                <c:pt idx="1">
                  <c:v>2015г (9 мес)-6500,2</c:v>
                </c:pt>
                <c:pt idx="2">
                  <c:v>Прогноз на 2016 г. - 7947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4525.7</c:v>
                </c:pt>
                <c:pt idx="1">
                  <c:v>6500.2</c:v>
                </c:pt>
                <c:pt idx="2">
                  <c:v>7947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-4525,7</c:v>
                </c:pt>
                <c:pt idx="1">
                  <c:v>2015г (9 мес)-6500,2</c:v>
                </c:pt>
                <c:pt idx="2">
                  <c:v>Прогноз на 2016 г. - 7947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-4525,7</c:v>
                </c:pt>
                <c:pt idx="1">
                  <c:v>2015г (9 мес)-6500,2</c:v>
                </c:pt>
                <c:pt idx="2">
                  <c:v>Прогноз на 2016 г. - 7947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-4525,7</c:v>
                </c:pt>
                <c:pt idx="1">
                  <c:v>2015г (9 мес)-6500,2</c:v>
                </c:pt>
                <c:pt idx="2">
                  <c:v>Прогноз на 2016 г. - 7947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-4525,7</c:v>
                </c:pt>
                <c:pt idx="1">
                  <c:v>2015г (9 мес)-6500,2</c:v>
                </c:pt>
                <c:pt idx="2">
                  <c:v>Прогноз на 2016 г. - 7947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-4525,7</c:v>
                </c:pt>
                <c:pt idx="1">
                  <c:v>2015г (9 мес)-6500,2</c:v>
                </c:pt>
                <c:pt idx="2">
                  <c:v>Прогноз на 2016 г. - 7947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224734208"/>
        <c:axId val="224813824"/>
        <c:axId val="0"/>
      </c:bar3DChart>
      <c:catAx>
        <c:axId val="224734208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4813824"/>
        <c:crosses val="autoZero"/>
        <c:lblAlgn val="ctr"/>
        <c:lblOffset val="100"/>
        <c:tickLblSkip val="1"/>
        <c:tickMarkSkip val="1"/>
      </c:catAx>
      <c:valAx>
        <c:axId val="22481382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4734208"/>
        <c:crosses val="autoZero"/>
        <c:crossBetween val="between"/>
      </c:valAx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61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383036935704521"/>
          <c:y val="4.3062200956937836E-2"/>
          <c:w val="0.7346101231190153"/>
          <c:h val="0.79904306220095689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45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 . - 17,8</c:v>
                </c:pt>
                <c:pt idx="1">
                  <c:v>2015 г. (9 мес.) - 3,8</c:v>
                </c:pt>
                <c:pt idx="2">
                  <c:v>Прогноз на 2016 г.- 15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17.8</c:v>
                </c:pt>
                <c:pt idx="1">
                  <c:v>3.8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45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 . - 17,8</c:v>
                </c:pt>
                <c:pt idx="1">
                  <c:v>2015 г. (9 мес.) - 3,8</c:v>
                </c:pt>
                <c:pt idx="2">
                  <c:v>Прогноз на 2016 г.- 15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45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 . - 17,8</c:v>
                </c:pt>
                <c:pt idx="1">
                  <c:v>2015 г. (9 мес.) - 3,8</c:v>
                </c:pt>
                <c:pt idx="2">
                  <c:v>Прогноз на 2016 г.- 15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45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 . - 17,8</c:v>
                </c:pt>
                <c:pt idx="1">
                  <c:v>2015 г. (9 мес.) - 3,8</c:v>
                </c:pt>
                <c:pt idx="2">
                  <c:v>Прогноз на 2016 г.- 15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45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 . - 17,8</c:v>
                </c:pt>
                <c:pt idx="1">
                  <c:v>2015 г. (9 мес.) - 3,8</c:v>
                </c:pt>
                <c:pt idx="2">
                  <c:v>Прогноз на 2016 г.- 15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45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 . - 17,8</c:v>
                </c:pt>
                <c:pt idx="1">
                  <c:v>2015 г. (9 мес.) - 3,8</c:v>
                </c:pt>
                <c:pt idx="2">
                  <c:v>Прогноз на 2016 г.- 15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203534720"/>
        <c:axId val="203536256"/>
        <c:axId val="0"/>
      </c:bar3DChart>
      <c:catAx>
        <c:axId val="203534720"/>
        <c:scaling>
          <c:orientation val="minMax"/>
        </c:scaling>
        <c:axPos val="l"/>
        <c:numFmt formatCode="General" sourceLinked="1"/>
        <c:tickLblPos val="low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3536256"/>
        <c:crosses val="autoZero"/>
        <c:lblAlgn val="ctr"/>
        <c:lblOffset val="100"/>
        <c:tickLblSkip val="1"/>
        <c:tickMarkSkip val="1"/>
      </c:catAx>
      <c:valAx>
        <c:axId val="203536256"/>
        <c:scaling>
          <c:orientation val="minMax"/>
        </c:scaling>
        <c:axPos val="b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3534720"/>
        <c:crosses val="autoZero"/>
        <c:crossBetween val="between"/>
      </c:valAx>
      <c:spPr>
        <a:solidFill>
          <a:srgbClr val="C0C0C0"/>
        </a:solidFill>
        <a:ln w="12745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88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167872648335739"/>
          <c:y val="5.9210526315789484E-2"/>
          <c:w val="0.6830680173661362"/>
          <c:h val="0.72368421052631604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- 0</c:v>
                </c:pt>
                <c:pt idx="1">
                  <c:v>2015  г. - 0  </c:v>
                </c:pt>
                <c:pt idx="2">
                  <c:v>Прогноз на 2016 г. - 4798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4798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- 0</c:v>
                </c:pt>
                <c:pt idx="1">
                  <c:v>2015  г. - 0  </c:v>
                </c:pt>
                <c:pt idx="2">
                  <c:v>Прогноз на 2016 г. - 4798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- 0</c:v>
                </c:pt>
                <c:pt idx="1">
                  <c:v>2015  г. - 0  </c:v>
                </c:pt>
                <c:pt idx="2">
                  <c:v>Прогноз на 2016 г. - 4798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- 0</c:v>
                </c:pt>
                <c:pt idx="1">
                  <c:v>2015  г. - 0  </c:v>
                </c:pt>
                <c:pt idx="2">
                  <c:v>Прогноз на 2016 г. - 4798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- 0</c:v>
                </c:pt>
                <c:pt idx="1">
                  <c:v>2015  г. - 0  </c:v>
                </c:pt>
                <c:pt idx="2">
                  <c:v>Прогноз на 2016 г. - 4798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- 0</c:v>
                </c:pt>
                <c:pt idx="1">
                  <c:v>2015  г. - 0  </c:v>
                </c:pt>
                <c:pt idx="2">
                  <c:v>Прогноз на 2016 г. - 4798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93934464"/>
        <c:axId val="193936000"/>
        <c:axId val="0"/>
      </c:bar3DChart>
      <c:catAx>
        <c:axId val="193934464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936000"/>
        <c:crosses val="autoZero"/>
        <c:lblAlgn val="ctr"/>
        <c:lblOffset val="100"/>
        <c:tickLblSkip val="1"/>
        <c:tickMarkSkip val="1"/>
      </c:catAx>
      <c:valAx>
        <c:axId val="193936000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93446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11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8519195612431431"/>
          <c:y val="6.2937062937062943E-2"/>
          <c:w val="0.62888482632541176"/>
          <c:h val="0.70629370629370658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- 6284,3</c:v>
                </c:pt>
                <c:pt idx="1">
                  <c:v>2015г (9 мес)-268,2</c:v>
                </c:pt>
                <c:pt idx="2">
                  <c:v>Прогноз на 2016г. - 315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6284.3</c:v>
                </c:pt>
                <c:pt idx="1">
                  <c:v>268.2</c:v>
                </c:pt>
                <c:pt idx="2">
                  <c:v>315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- 6284,3</c:v>
                </c:pt>
                <c:pt idx="1">
                  <c:v>2015г (9 мес)-268,2</c:v>
                </c:pt>
                <c:pt idx="2">
                  <c:v>Прогноз на 2016г. - 315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- 6284,3</c:v>
                </c:pt>
                <c:pt idx="1">
                  <c:v>2015г (9 мес)-268,2</c:v>
                </c:pt>
                <c:pt idx="2">
                  <c:v>Прогноз на 2016г. - 315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- 6284,3</c:v>
                </c:pt>
                <c:pt idx="1">
                  <c:v>2015г (9 мес)-268,2</c:v>
                </c:pt>
                <c:pt idx="2">
                  <c:v>Прогноз на 2016г. - 315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- 6284,3</c:v>
                </c:pt>
                <c:pt idx="1">
                  <c:v>2015г (9 мес)-268,2</c:v>
                </c:pt>
                <c:pt idx="2">
                  <c:v>Прогноз на 2016г. - 315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- 6284,3</c:v>
                </c:pt>
                <c:pt idx="1">
                  <c:v>2015г (9 мес)-268,2</c:v>
                </c:pt>
                <c:pt idx="2">
                  <c:v>Прогноз на 2016г. - 315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204056448"/>
        <c:axId val="204057984"/>
        <c:axId val="0"/>
      </c:bar3DChart>
      <c:catAx>
        <c:axId val="204056448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4057984"/>
        <c:crosses val="autoZero"/>
        <c:lblAlgn val="ctr"/>
        <c:lblOffset val="100"/>
        <c:tickLblSkip val="1"/>
        <c:tickMarkSkip val="1"/>
      </c:catAx>
      <c:valAx>
        <c:axId val="20405798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405644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09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773722627737231"/>
          <c:y val="5.1136363636363653E-2"/>
          <c:w val="0.70364963503649691"/>
          <c:h val="0.76136363636363669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- 204,2</c:v>
                </c:pt>
                <c:pt idx="1">
                  <c:v>2015 г (9 мес) -197,2</c:v>
                </c:pt>
                <c:pt idx="2">
                  <c:v>Прогноз на 2016 г.- 220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204.2</c:v>
                </c:pt>
                <c:pt idx="1">
                  <c:v>197.2</c:v>
                </c:pt>
                <c:pt idx="2">
                  <c:v>220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- 204,2</c:v>
                </c:pt>
                <c:pt idx="1">
                  <c:v>2015 г (9 мес) -197,2</c:v>
                </c:pt>
                <c:pt idx="2">
                  <c:v>Прогноз на 2016 г.- 220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- 204,2</c:v>
                </c:pt>
                <c:pt idx="1">
                  <c:v>2015 г (9 мес) -197,2</c:v>
                </c:pt>
                <c:pt idx="2">
                  <c:v>Прогноз на 2016 г.- 220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- 204,2</c:v>
                </c:pt>
                <c:pt idx="1">
                  <c:v>2015 г (9 мес) -197,2</c:v>
                </c:pt>
                <c:pt idx="2">
                  <c:v>Прогноз на 2016 г.- 220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- 204,2</c:v>
                </c:pt>
                <c:pt idx="1">
                  <c:v>2015 г (9 мес) -197,2</c:v>
                </c:pt>
                <c:pt idx="2">
                  <c:v>Прогноз на 2016 г.- 220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43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- 204,2</c:v>
                </c:pt>
                <c:pt idx="1">
                  <c:v>2015 г (9 мес) -197,2</c:v>
                </c:pt>
                <c:pt idx="2">
                  <c:v>Прогноз на 2016 г.- 220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204077696"/>
        <c:axId val="204087680"/>
        <c:axId val="0"/>
      </c:bar3DChart>
      <c:catAx>
        <c:axId val="204077696"/>
        <c:scaling>
          <c:orientation val="minMax"/>
        </c:scaling>
        <c:axPos val="l"/>
        <c:numFmt formatCode="General" sourceLinked="1"/>
        <c:tickLblPos val="low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4087680"/>
        <c:crosses val="autoZero"/>
        <c:lblAlgn val="ctr"/>
        <c:lblOffset val="100"/>
        <c:tickLblSkip val="1"/>
        <c:tickMarkSkip val="1"/>
      </c:catAx>
      <c:valAx>
        <c:axId val="204087680"/>
        <c:scaling>
          <c:orientation val="minMax"/>
        </c:scaling>
        <c:axPos val="b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4077696"/>
        <c:crosses val="autoZero"/>
        <c:crossBetween val="between"/>
      </c:valAx>
      <c:spPr>
        <a:solidFill>
          <a:srgbClr val="C0C0C0"/>
        </a:solidFill>
        <a:ln w="1274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97"/>
      <c:depthPercent val="2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88782489740082"/>
          <c:y val="4.6874999999999986E-2"/>
          <c:w val="0.71545827633378989"/>
          <c:h val="0.7812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8080FF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- 186,1</c:v>
                </c:pt>
                <c:pt idx="1">
                  <c:v>2015г (9 мес) - 95,7</c:v>
                </c:pt>
                <c:pt idx="2">
                  <c:v>Прогноз на 2016 г. - 200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186.1</c:v>
                </c:pt>
                <c:pt idx="1">
                  <c:v>95.7</c:v>
                </c:pt>
                <c:pt idx="2">
                  <c:v>200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rgbClr val="80206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- 186,1</c:v>
                </c:pt>
                <c:pt idx="1">
                  <c:v>2015г (9 мес) - 95,7</c:v>
                </c:pt>
                <c:pt idx="2">
                  <c:v>Прогноз на 2016 г. - 200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rgbClr val="FFFFC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- 186,1</c:v>
                </c:pt>
                <c:pt idx="1">
                  <c:v>2015г (9 мес) - 95,7</c:v>
                </c:pt>
                <c:pt idx="2">
                  <c:v>Прогноз на 2016 г. - 200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rgbClr val="A0E0E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- 186,1</c:v>
                </c:pt>
                <c:pt idx="1">
                  <c:v>2015г (9 мес) - 95,7</c:v>
                </c:pt>
                <c:pt idx="2">
                  <c:v>Прогноз на 2016 г. - 200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spPr>
            <a:solidFill>
              <a:srgbClr val="60008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- 186,1</c:v>
                </c:pt>
                <c:pt idx="1">
                  <c:v>2015г (9 мес) - 95,7</c:v>
                </c:pt>
                <c:pt idx="2">
                  <c:v>Прогноз на 2016 г. - 200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44">
              <a:solidFill>
                <a:srgbClr val="000000"/>
              </a:solidFill>
              <a:prstDash val="solid"/>
            </a:ln>
          </c:spPr>
          <c:cat>
            <c:strRef>
              <c:f>Лист1!$B$1:$D$1</c:f>
              <c:strCache>
                <c:ptCount val="3"/>
                <c:pt idx="0">
                  <c:v>2014 г. - 186,1</c:v>
                </c:pt>
                <c:pt idx="1">
                  <c:v>2015г (9 мес) - 95,7</c:v>
                </c:pt>
                <c:pt idx="2">
                  <c:v>Прогноз на 2016 г. - 200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</c:numCache>
            </c:numRef>
          </c:val>
        </c:ser>
        <c:gapDepth val="50"/>
        <c:shape val="box"/>
        <c:axId val="193973632"/>
        <c:axId val="203494528"/>
        <c:axId val="0"/>
      </c:bar3DChart>
      <c:catAx>
        <c:axId val="193973632"/>
        <c:scaling>
          <c:orientation val="minMax"/>
        </c:scaling>
        <c:axPos val="l"/>
        <c:numFmt formatCode="General" sourceLinked="1"/>
        <c:tickLblPos val="low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3494528"/>
        <c:crosses val="autoZero"/>
        <c:lblAlgn val="ctr"/>
        <c:lblOffset val="100"/>
        <c:tickLblSkip val="1"/>
        <c:tickMarkSkip val="1"/>
      </c:catAx>
      <c:valAx>
        <c:axId val="203494528"/>
        <c:scaling>
          <c:orientation val="minMax"/>
        </c:scaling>
        <c:axPos val="b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3973632"/>
        <c:crosses val="autoZero"/>
        <c:crossBetween val="between"/>
      </c:valAx>
      <c:spPr>
        <a:solidFill>
          <a:srgbClr val="C0C0C0"/>
        </a:solidFill>
        <a:ln w="12744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0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9975</Words>
  <Characters>56860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cp:lastPrinted>2016-03-16T09:12:00Z</cp:lastPrinted>
  <dcterms:created xsi:type="dcterms:W3CDTF">2016-04-11T12:43:00Z</dcterms:created>
  <dcterms:modified xsi:type="dcterms:W3CDTF">2016-04-11T12:43:00Z</dcterms:modified>
</cp:coreProperties>
</file>